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A54" w14:textId="6B1AA9DD" w:rsidR="004407D6" w:rsidRDefault="004407D6" w:rsidP="00DC1F35">
      <w:pPr>
        <w:jc w:val="both"/>
      </w:pPr>
      <w:r w:rsidRPr="00D67885">
        <w:rPr>
          <w:noProof/>
        </w:rPr>
        <w:drawing>
          <wp:inline distT="0" distB="0" distL="0" distR="0" wp14:anchorId="685B1ACD" wp14:editId="6B593054">
            <wp:extent cx="2050415" cy="874395"/>
            <wp:effectExtent l="0" t="0" r="0" b="0"/>
            <wp:docPr id="118" name="Picture 118" descr="A purpl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8" name="Picture 118" descr="A purple and green logo&#10;&#10;AI-generated content may be incorrect."/>
                    <pic:cNvPicPr/>
                  </pic:nvPicPr>
                  <pic:blipFill>
                    <a:blip r:embed="rId7"/>
                    <a:stretch>
                      <a:fillRect/>
                    </a:stretch>
                  </pic:blipFill>
                  <pic:spPr>
                    <a:xfrm>
                      <a:off x="0" y="0"/>
                      <a:ext cx="2050415" cy="874395"/>
                    </a:xfrm>
                    <a:prstGeom prst="rect">
                      <a:avLst/>
                    </a:prstGeom>
                  </pic:spPr>
                </pic:pic>
              </a:graphicData>
            </a:graphic>
          </wp:inline>
        </w:drawing>
      </w:r>
    </w:p>
    <w:p w14:paraId="43E25DEB" w14:textId="60222300" w:rsidR="004407D6" w:rsidRDefault="00FE0173" w:rsidP="00DC1F35">
      <w:pPr>
        <w:spacing w:after="0" w:line="240" w:lineRule="auto"/>
        <w:jc w:val="center"/>
        <w:rPr>
          <w:b/>
          <w:bCs/>
        </w:rPr>
      </w:pPr>
      <w:r>
        <w:rPr>
          <w:b/>
          <w:bCs/>
        </w:rPr>
        <w:t xml:space="preserve">The </w:t>
      </w:r>
      <w:r w:rsidR="004407D6" w:rsidRPr="004407D6">
        <w:rPr>
          <w:b/>
          <w:bCs/>
        </w:rPr>
        <w:t>Chartered Trading Standards Institute (CTSI) response to:</w:t>
      </w:r>
    </w:p>
    <w:p w14:paraId="55B935B5" w14:textId="31608075" w:rsidR="00F944FD" w:rsidRDefault="00E26C31" w:rsidP="00E26C31">
      <w:pPr>
        <w:spacing w:after="0" w:line="240" w:lineRule="auto"/>
        <w:jc w:val="center"/>
        <w:rPr>
          <w:b/>
          <w:bCs/>
        </w:rPr>
      </w:pPr>
      <w:r w:rsidRPr="00E26C31">
        <w:rPr>
          <w:b/>
          <w:bCs/>
        </w:rPr>
        <w:t>Construction Products Reform White Paper</w:t>
      </w:r>
    </w:p>
    <w:p w14:paraId="799E0B07" w14:textId="77777777" w:rsidR="00E26C31" w:rsidRDefault="00E26C31" w:rsidP="00DC1F35">
      <w:pPr>
        <w:spacing w:after="0" w:line="240" w:lineRule="auto"/>
        <w:jc w:val="both"/>
      </w:pPr>
    </w:p>
    <w:p w14:paraId="0617CD32" w14:textId="44D336F1" w:rsidR="004407D6" w:rsidRDefault="004407D6" w:rsidP="00DC1F35">
      <w:pPr>
        <w:jc w:val="both"/>
      </w:pPr>
      <w:r>
        <w:t xml:space="preserve">Response sent to: </w:t>
      </w:r>
      <w:r w:rsidR="00E26C31" w:rsidRPr="00E26C31">
        <w:t>ConstructionProducts@communities.gov.uk</w:t>
      </w:r>
    </w:p>
    <w:p w14:paraId="353100A6" w14:textId="185D47D5" w:rsidR="00C47E3C" w:rsidRDefault="00C47E3C" w:rsidP="00DC1F35">
      <w:pPr>
        <w:jc w:val="both"/>
      </w:pPr>
      <w:r>
        <w:t>Response s</w:t>
      </w:r>
      <w:r w:rsidR="0026461B">
        <w:t>ubmitted</w:t>
      </w:r>
      <w:r>
        <w:t xml:space="preserve"> by: </w:t>
      </w:r>
      <w:r w:rsidR="00DC1F35" w:rsidRPr="00DC1F35">
        <w:t>Ryan Parker</w:t>
      </w:r>
      <w:r w:rsidRPr="00DC1F35">
        <w:t>, CTSI</w:t>
      </w:r>
      <w:r>
        <w:t xml:space="preserve"> </w:t>
      </w:r>
    </w:p>
    <w:p w14:paraId="6767E7F7" w14:textId="55E79C73" w:rsidR="004407D6" w:rsidRDefault="004407D6" w:rsidP="00DC1F35">
      <w:pPr>
        <w:jc w:val="both"/>
      </w:pPr>
      <w:r w:rsidRPr="004407D6">
        <w:t>This response is being sent on behalf of The Chartered Trading Standards Institute and has been compiled by the expertise of CTSI members</w:t>
      </w:r>
      <w:r w:rsidR="008462F5">
        <w:t xml:space="preserve"> and Lead Officers</w:t>
      </w:r>
      <w:r w:rsidRPr="004407D6">
        <w:t xml:space="preserve">. </w:t>
      </w:r>
    </w:p>
    <w:p w14:paraId="448D5F6C" w14:textId="77777777" w:rsidR="004407D6" w:rsidRPr="004407D6" w:rsidRDefault="004407D6" w:rsidP="00DC1F35">
      <w:pPr>
        <w:jc w:val="both"/>
        <w:rPr>
          <w:b/>
          <w:bCs/>
          <w:u w:val="single"/>
        </w:rPr>
      </w:pPr>
      <w:r w:rsidRPr="004407D6">
        <w:rPr>
          <w:b/>
          <w:bCs/>
          <w:u w:val="single"/>
        </w:rPr>
        <w:t>ABOUT CTSI</w:t>
      </w:r>
    </w:p>
    <w:p w14:paraId="45E68F6F" w14:textId="77777777" w:rsidR="004407D6" w:rsidRDefault="004407D6" w:rsidP="00DC1F35">
      <w:pPr>
        <w:jc w:val="both"/>
      </w:pPr>
      <w:r w:rsidRPr="004407D6">
        <w:t xml:space="preserve">Founded in 1881 (as the 'Incorporated Society of Inspectors of Weights and Measures'), today's Chartered Trading Standards Institute (CTSI) is one of the world’s longest-established organisations dedicated to the field of Trading Standards and Consumer Protection. </w:t>
      </w:r>
    </w:p>
    <w:p w14:paraId="59A5A668" w14:textId="77777777" w:rsidR="004407D6" w:rsidRDefault="004407D6" w:rsidP="00DC1F35">
      <w:pPr>
        <w:jc w:val="both"/>
      </w:pPr>
      <w:r w:rsidRPr="004407D6">
        <w:t xml:space="preserve">At CTSI, and through the Trading Standards profession, we aim to promote good trading practices and to protect consumers. We strive to foster a strong vibrant economy by safeguarding the health, safety and wellbeing of citizens through empowering consumers, encouraging honest business, and targeting rogue practices. We provide information, guidance and develop evidence-based policies and campaigns to support local and national stakeholders including central and devolved governments. </w:t>
      </w:r>
    </w:p>
    <w:p w14:paraId="3617685B" w14:textId="2F3B7975" w:rsidR="004407D6" w:rsidRDefault="004407D6" w:rsidP="00DC1F35">
      <w:pPr>
        <w:jc w:val="both"/>
      </w:pPr>
      <w:r w:rsidRPr="004407D6">
        <w:t xml:space="preserve">CTSI also provides the secretariat to the All-Party Parliamentary Group on Consumer Protection and campaigns on range of topics including product safety issues. CTSI is responsible for business advice and education </w:t>
      </w:r>
      <w:r w:rsidR="00F944FD" w:rsidRPr="004407D6">
        <w:t>in</w:t>
      </w:r>
      <w:r w:rsidRPr="004407D6">
        <w:t xml:space="preserve"> Trading Standards and consumer protection legislation, including running the Business Companion service to provide clear guidance to businesses on how to meet their legal and regulatory obligations. </w:t>
      </w:r>
    </w:p>
    <w:p w14:paraId="3A05E13C" w14:textId="7B74DE5E" w:rsidR="004407D6" w:rsidRDefault="004407D6" w:rsidP="00DC1F35">
      <w:pPr>
        <w:jc w:val="both"/>
      </w:pPr>
      <w:r w:rsidRPr="004407D6">
        <w:t xml:space="preserve">CTSI is also contracted to provide administrative support to the Approved Codes Scheme which was established to give consumers greater confidence when they buy from members of the approved scheme </w:t>
      </w:r>
      <w:r w:rsidR="00F944FD" w:rsidRPr="004407D6">
        <w:t>and</w:t>
      </w:r>
      <w:r w:rsidRPr="004407D6">
        <w:t xml:space="preserve"> raises the standards of trading of all businesses that operate under the relevant Approved Code for that sector. CTSI run training and development events for both the Trading Standards profession and a growing number of external organisations. We also provide accredited courses on regulations and enforcement. </w:t>
      </w:r>
    </w:p>
    <w:p w14:paraId="19DD7C6D" w14:textId="08092031" w:rsidR="004407D6" w:rsidRDefault="004407D6" w:rsidP="00DC1F35">
      <w:pPr>
        <w:jc w:val="both"/>
        <w:rPr>
          <w:b/>
          <w:bCs/>
          <w:u w:val="single"/>
        </w:rPr>
      </w:pPr>
      <w:r w:rsidRPr="004407D6">
        <w:rPr>
          <w:b/>
          <w:bCs/>
          <w:u w:val="single"/>
        </w:rPr>
        <w:t>Response</w:t>
      </w:r>
      <w:r w:rsidR="00CE19D4">
        <w:rPr>
          <w:b/>
          <w:bCs/>
          <w:u w:val="single"/>
        </w:rPr>
        <w:t>:</w:t>
      </w:r>
    </w:p>
    <w:p w14:paraId="63B4AD90" w14:textId="77777777" w:rsidR="00DC1F35" w:rsidRPr="00DC1F35" w:rsidRDefault="00DC1F35" w:rsidP="00DC1F35">
      <w:pPr>
        <w:pStyle w:val="ListParagraph"/>
        <w:numPr>
          <w:ilvl w:val="0"/>
          <w:numId w:val="4"/>
        </w:numPr>
        <w:spacing w:after="0" w:line="240" w:lineRule="auto"/>
        <w:ind w:left="360"/>
        <w:jc w:val="both"/>
        <w:rPr>
          <w:b/>
          <w:bCs/>
        </w:rPr>
      </w:pPr>
      <w:r w:rsidRPr="00DC1F35">
        <w:rPr>
          <w:b/>
          <w:bCs/>
        </w:rPr>
        <w:t>What should be included in guidance to support industry to understand their responsibilities regarding products critical to safe construction?</w:t>
      </w:r>
    </w:p>
    <w:p w14:paraId="33E0EDEC" w14:textId="77777777" w:rsidR="00DC1F35" w:rsidRDefault="00DC1F35" w:rsidP="00DC1F35">
      <w:pPr>
        <w:spacing w:after="0" w:line="240" w:lineRule="auto"/>
        <w:jc w:val="both"/>
        <w:rPr>
          <w:b/>
          <w:bCs/>
        </w:rPr>
      </w:pPr>
    </w:p>
    <w:p w14:paraId="6085B6AB" w14:textId="524488AE" w:rsidR="00DC1F35" w:rsidRPr="00DC1F35" w:rsidRDefault="00DC1F35" w:rsidP="00DC1F35">
      <w:pPr>
        <w:spacing w:after="0" w:line="240" w:lineRule="auto"/>
        <w:jc w:val="both"/>
      </w:pPr>
      <w:r>
        <w:t>The detail of this question is best answered by industry itself. That said, clear guidance is vital to ensure businesses and enforcement can understand how to comply with regulation(s).</w:t>
      </w:r>
    </w:p>
    <w:p w14:paraId="18A6AC56" w14:textId="77777777" w:rsidR="00DC1F35" w:rsidRPr="00E26C31" w:rsidRDefault="00DC1F35" w:rsidP="00E26C31">
      <w:pPr>
        <w:spacing w:after="0" w:line="240" w:lineRule="auto"/>
        <w:jc w:val="both"/>
        <w:rPr>
          <w:b/>
          <w:bCs/>
        </w:rPr>
      </w:pPr>
    </w:p>
    <w:p w14:paraId="6ADB598E" w14:textId="5D4CB5BC" w:rsidR="00DC1F35" w:rsidRPr="00E26C31" w:rsidRDefault="00DC1F35" w:rsidP="00E26C31">
      <w:pPr>
        <w:pStyle w:val="ListParagraph"/>
        <w:numPr>
          <w:ilvl w:val="0"/>
          <w:numId w:val="6"/>
        </w:numPr>
        <w:spacing w:after="0" w:line="240" w:lineRule="auto"/>
        <w:jc w:val="both"/>
        <w:rPr>
          <w:b/>
          <w:bCs/>
        </w:rPr>
      </w:pPr>
      <w:r w:rsidRPr="00E26C31">
        <w:rPr>
          <w:b/>
          <w:bCs/>
        </w:rPr>
        <w:lastRenderedPageBreak/>
        <w:t xml:space="preserve">Would there be a benefit to enabling employment protections, for individuals reporting risks, bad practices and noncompliance within their own organisation, to the national regulator for construction products? [Yes/No]. Please explain your answer. </w:t>
      </w:r>
    </w:p>
    <w:p w14:paraId="0FCAA4B3" w14:textId="77777777" w:rsidR="00DC1F35" w:rsidRDefault="00DC1F35" w:rsidP="00DC1F35">
      <w:pPr>
        <w:spacing w:after="0" w:line="240" w:lineRule="auto"/>
        <w:jc w:val="both"/>
        <w:rPr>
          <w:b/>
          <w:bCs/>
        </w:rPr>
      </w:pPr>
    </w:p>
    <w:p w14:paraId="240D50E6" w14:textId="79DD7773" w:rsidR="00DC1F35" w:rsidRPr="00DC1F35" w:rsidRDefault="00DC1F35" w:rsidP="00DC1F35">
      <w:pPr>
        <w:spacing w:after="0" w:line="240" w:lineRule="auto"/>
        <w:jc w:val="both"/>
      </w:pPr>
      <w:r w:rsidRPr="00DC1F35">
        <w:t>Yes, if existing legislation does not already cover this. This would provide the opportunity for whistleblowers to point out poor practice.</w:t>
      </w:r>
    </w:p>
    <w:p w14:paraId="33609A9B" w14:textId="77777777" w:rsidR="00DC1F35" w:rsidRPr="00DC1F35" w:rsidRDefault="00DC1F35" w:rsidP="00DC1F35">
      <w:pPr>
        <w:pStyle w:val="ListParagraph"/>
        <w:spacing w:after="0" w:line="240" w:lineRule="auto"/>
        <w:ind w:left="360"/>
        <w:jc w:val="both"/>
        <w:rPr>
          <w:b/>
          <w:bCs/>
        </w:rPr>
      </w:pPr>
    </w:p>
    <w:p w14:paraId="0E9BACBB" w14:textId="77777777" w:rsidR="00DC1F35" w:rsidRPr="00DC1F35" w:rsidRDefault="00DC1F35" w:rsidP="00DC1F35">
      <w:pPr>
        <w:pStyle w:val="ListParagraph"/>
        <w:spacing w:after="0" w:line="240" w:lineRule="auto"/>
        <w:ind w:left="360"/>
        <w:jc w:val="both"/>
        <w:rPr>
          <w:b/>
          <w:bCs/>
        </w:rPr>
      </w:pPr>
    </w:p>
    <w:p w14:paraId="25D2AEC0" w14:textId="77623AC4" w:rsidR="00DC1F35" w:rsidRPr="00E26C31" w:rsidRDefault="00DC1F35" w:rsidP="00E26C31">
      <w:pPr>
        <w:pStyle w:val="ListParagraph"/>
        <w:numPr>
          <w:ilvl w:val="0"/>
          <w:numId w:val="5"/>
        </w:numPr>
        <w:spacing w:after="0" w:line="240" w:lineRule="auto"/>
        <w:jc w:val="both"/>
        <w:rPr>
          <w:b/>
          <w:bCs/>
        </w:rPr>
      </w:pPr>
      <w:r w:rsidRPr="00E26C31">
        <w:rPr>
          <w:b/>
          <w:bCs/>
        </w:rPr>
        <w:t xml:space="preserve">What should we </w:t>
      </w:r>
      <w:proofErr w:type="gramStart"/>
      <w:r w:rsidRPr="00E26C31">
        <w:rPr>
          <w:b/>
          <w:bCs/>
        </w:rPr>
        <w:t>take into account</w:t>
      </w:r>
      <w:proofErr w:type="gramEnd"/>
      <w:r w:rsidRPr="00E26C31">
        <w:rPr>
          <w:b/>
          <w:bCs/>
        </w:rPr>
        <w:t xml:space="preserve"> when developing the proposed tranches and sequencing? Please explain your answer. </w:t>
      </w:r>
    </w:p>
    <w:p w14:paraId="67157650" w14:textId="77777777" w:rsidR="00DC1F35" w:rsidRDefault="00DC1F35" w:rsidP="00DC1F35">
      <w:pPr>
        <w:spacing w:after="0" w:line="240" w:lineRule="auto"/>
        <w:jc w:val="both"/>
        <w:rPr>
          <w:b/>
          <w:bCs/>
        </w:rPr>
      </w:pPr>
    </w:p>
    <w:p w14:paraId="21B40D0F" w14:textId="7411D638" w:rsidR="00DC1F35" w:rsidRPr="00DC1F35" w:rsidRDefault="00DC1F35" w:rsidP="00DC1F35">
      <w:pPr>
        <w:spacing w:after="0" w:line="240" w:lineRule="auto"/>
        <w:jc w:val="both"/>
      </w:pPr>
      <w:r w:rsidRPr="00DC1F35">
        <w:t xml:space="preserve">Local authorities will need advanced </w:t>
      </w:r>
      <w:r>
        <w:t>notice</w:t>
      </w:r>
      <w:r w:rsidR="00E26C31">
        <w:t xml:space="preserve"> so they can prepare appropriately. The expectations of local authorities should be made clear, particularly that there is no duty or expectation that local authority trading standards will perform any activity relating to this enforcement area. </w:t>
      </w:r>
    </w:p>
    <w:p w14:paraId="29A6CFA7" w14:textId="77777777" w:rsidR="00DC1F35" w:rsidRPr="00DC1F35" w:rsidRDefault="00DC1F35" w:rsidP="00DC1F35">
      <w:pPr>
        <w:pStyle w:val="ListParagraph"/>
        <w:spacing w:after="0" w:line="240" w:lineRule="auto"/>
        <w:ind w:left="360"/>
        <w:jc w:val="both"/>
        <w:rPr>
          <w:b/>
          <w:bCs/>
        </w:rPr>
      </w:pPr>
    </w:p>
    <w:p w14:paraId="682F0ED7" w14:textId="77777777" w:rsidR="00DC1F35" w:rsidRPr="00DC1F35" w:rsidRDefault="00DC1F35" w:rsidP="00DC1F35">
      <w:pPr>
        <w:pStyle w:val="ListParagraph"/>
        <w:spacing w:after="0" w:line="240" w:lineRule="auto"/>
        <w:ind w:left="360"/>
        <w:jc w:val="both"/>
        <w:rPr>
          <w:b/>
          <w:bCs/>
        </w:rPr>
      </w:pPr>
    </w:p>
    <w:p w14:paraId="5B26E8AF" w14:textId="77777777" w:rsidR="00DC1F35" w:rsidRPr="00DC1F35" w:rsidRDefault="00DC1F35" w:rsidP="00DC1F35">
      <w:pPr>
        <w:pStyle w:val="ListParagraph"/>
        <w:spacing w:after="0" w:line="240" w:lineRule="auto"/>
        <w:jc w:val="both"/>
        <w:rPr>
          <w:b/>
          <w:bCs/>
        </w:rPr>
      </w:pPr>
    </w:p>
    <w:sectPr w:rsidR="00DC1F35" w:rsidRPr="00DC1F3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7A32" w14:textId="77777777" w:rsidR="004E4A38" w:rsidRDefault="004E4A38" w:rsidP="004407D6">
      <w:pPr>
        <w:spacing w:after="0" w:line="240" w:lineRule="auto"/>
      </w:pPr>
      <w:r>
        <w:separator/>
      </w:r>
    </w:p>
  </w:endnote>
  <w:endnote w:type="continuationSeparator" w:id="0">
    <w:p w14:paraId="52E0C7AC" w14:textId="77777777" w:rsidR="004E4A38" w:rsidRDefault="004E4A38" w:rsidP="0044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BC3" w14:textId="122B39AE" w:rsidR="00E73C44" w:rsidRDefault="00E73C44">
    <w:pPr>
      <w:pStyle w:val="Footer"/>
    </w:pPr>
    <w:r>
      <w:fldChar w:fldCharType="begin"/>
    </w:r>
    <w:r>
      <w:instrText xml:space="preserve"> DATE \@ "dd/MM/yyyy" </w:instrText>
    </w:r>
    <w:r>
      <w:fldChar w:fldCharType="separate"/>
    </w:r>
    <w:r w:rsidR="00DC1F35">
      <w:rPr>
        <w:noProof/>
      </w:rPr>
      <w:t>12/05/2026</w:t>
    </w:r>
    <w:r>
      <w:fldChar w:fldCharType="end"/>
    </w:r>
    <w:r>
      <w:tab/>
    </w:r>
    <w:r>
      <w:tab/>
    </w:r>
    <w:r>
      <w:rPr>
        <w:color w:val="7F7F7F" w:themeColor="background1" w:themeShade="7F"/>
        <w:spacing w:val="60"/>
      </w:rPr>
      <w:t>Page</w:t>
    </w:r>
    <w:r>
      <w:t xml:space="preserve"> | </w:t>
    </w:r>
    <w:r>
      <w:fldChar w:fldCharType="begin"/>
    </w:r>
    <w:r>
      <w:instrText>PAGE   \* MERGEFORMAT</w:instrText>
    </w:r>
    <w:r>
      <w:fldChar w:fldCharType="separate"/>
    </w:r>
    <w:r>
      <w:rPr>
        <w:b/>
        <w:bCs/>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1734" w14:textId="77777777" w:rsidR="004E4A38" w:rsidRDefault="004E4A38" w:rsidP="004407D6">
      <w:pPr>
        <w:spacing w:after="0" w:line="240" w:lineRule="auto"/>
      </w:pPr>
      <w:r>
        <w:separator/>
      </w:r>
    </w:p>
  </w:footnote>
  <w:footnote w:type="continuationSeparator" w:id="0">
    <w:p w14:paraId="30CBEC79" w14:textId="77777777" w:rsidR="004E4A38" w:rsidRDefault="004E4A38" w:rsidP="0044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05C3" w14:textId="3C274115" w:rsidR="004407D6" w:rsidRDefault="004407D6" w:rsidP="004407D6">
    <w:pPr>
      <w:pStyle w:val="Header"/>
      <w:jc w:val="center"/>
    </w:pPr>
    <w:r>
      <w:rPr>
        <w:noProof/>
      </w:rPr>
      <w:drawing>
        <wp:inline distT="0" distB="0" distL="0" distR="0" wp14:anchorId="6E70BB1C" wp14:editId="4437FE7F">
          <wp:extent cx="4077335" cy="476531"/>
          <wp:effectExtent l="0" t="0" r="0" b="0"/>
          <wp:docPr id="106353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3849" cy="480799"/>
                  </a:xfrm>
                  <a:prstGeom prst="rect">
                    <a:avLst/>
                  </a:prstGeom>
                  <a:noFill/>
                </pic:spPr>
              </pic:pic>
            </a:graphicData>
          </a:graphic>
        </wp:inline>
      </w:drawing>
    </w:r>
  </w:p>
  <w:p w14:paraId="5BE599E2" w14:textId="77777777" w:rsidR="004407D6" w:rsidRDefault="004407D6" w:rsidP="004407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84"/>
    <w:multiLevelType w:val="hybridMultilevel"/>
    <w:tmpl w:val="D3C2317C"/>
    <w:lvl w:ilvl="0" w:tplc="68A870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158E"/>
    <w:multiLevelType w:val="hybridMultilevel"/>
    <w:tmpl w:val="743ED00E"/>
    <w:lvl w:ilvl="0" w:tplc="08090011">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8308E4"/>
    <w:multiLevelType w:val="hybridMultilevel"/>
    <w:tmpl w:val="9D262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CA279CB"/>
    <w:multiLevelType w:val="hybridMultilevel"/>
    <w:tmpl w:val="169498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844E40"/>
    <w:multiLevelType w:val="hybridMultilevel"/>
    <w:tmpl w:val="DC9033B2"/>
    <w:lvl w:ilvl="0" w:tplc="D20A51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7355A"/>
    <w:multiLevelType w:val="hybridMultilevel"/>
    <w:tmpl w:val="24C6374A"/>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59246515">
    <w:abstractNumId w:val="4"/>
  </w:num>
  <w:num w:numId="2" w16cid:durableId="1518040473">
    <w:abstractNumId w:val="0"/>
  </w:num>
  <w:num w:numId="3" w16cid:durableId="1345936247">
    <w:abstractNumId w:val="2"/>
  </w:num>
  <w:num w:numId="4" w16cid:durableId="1690984597">
    <w:abstractNumId w:val="3"/>
  </w:num>
  <w:num w:numId="5" w16cid:durableId="1754156762">
    <w:abstractNumId w:val="1"/>
  </w:num>
  <w:num w:numId="6" w16cid:durableId="178008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D6"/>
    <w:rsid w:val="000B77C3"/>
    <w:rsid w:val="001007D5"/>
    <w:rsid w:val="001300DF"/>
    <w:rsid w:val="00192149"/>
    <w:rsid w:val="0026461B"/>
    <w:rsid w:val="00404B13"/>
    <w:rsid w:val="00426D22"/>
    <w:rsid w:val="004407D6"/>
    <w:rsid w:val="004E11C5"/>
    <w:rsid w:val="004E4A38"/>
    <w:rsid w:val="00541620"/>
    <w:rsid w:val="00646FE7"/>
    <w:rsid w:val="008375AC"/>
    <w:rsid w:val="008462F5"/>
    <w:rsid w:val="00871893"/>
    <w:rsid w:val="00A06AE4"/>
    <w:rsid w:val="00B07A38"/>
    <w:rsid w:val="00C47E3C"/>
    <w:rsid w:val="00C92260"/>
    <w:rsid w:val="00CE19D4"/>
    <w:rsid w:val="00CF44EA"/>
    <w:rsid w:val="00DC1F35"/>
    <w:rsid w:val="00E26C31"/>
    <w:rsid w:val="00E73C44"/>
    <w:rsid w:val="00EF609E"/>
    <w:rsid w:val="00F0677E"/>
    <w:rsid w:val="00F944FD"/>
    <w:rsid w:val="00FA7F39"/>
    <w:rsid w:val="00FC0A57"/>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34A1D"/>
  <w15:chartTrackingRefBased/>
  <w15:docId w15:val="{C60D5700-C5CE-4058-8A44-549429D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D6"/>
    <w:rPr>
      <w:rFonts w:eastAsiaTheme="majorEastAsia" w:cstheme="majorBidi"/>
      <w:color w:val="272727" w:themeColor="text1" w:themeTint="D8"/>
    </w:rPr>
  </w:style>
  <w:style w:type="paragraph" w:styleId="Title">
    <w:name w:val="Title"/>
    <w:basedOn w:val="Normal"/>
    <w:next w:val="Normal"/>
    <w:link w:val="TitleChar"/>
    <w:uiPriority w:val="10"/>
    <w:qFormat/>
    <w:rsid w:val="0044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407D6"/>
    <w:rPr>
      <w:i/>
      <w:iCs/>
      <w:color w:val="404040" w:themeColor="text1" w:themeTint="BF"/>
    </w:rPr>
  </w:style>
  <w:style w:type="paragraph" w:styleId="ListParagraph">
    <w:name w:val="List Paragraph"/>
    <w:basedOn w:val="Normal"/>
    <w:uiPriority w:val="34"/>
    <w:qFormat/>
    <w:rsid w:val="004407D6"/>
    <w:pPr>
      <w:ind w:left="720"/>
      <w:contextualSpacing/>
    </w:pPr>
  </w:style>
  <w:style w:type="character" w:styleId="IntenseEmphasis">
    <w:name w:val="Intense Emphasis"/>
    <w:basedOn w:val="DefaultParagraphFont"/>
    <w:uiPriority w:val="21"/>
    <w:qFormat/>
    <w:rsid w:val="004407D6"/>
    <w:rPr>
      <w:i/>
      <w:iCs/>
      <w:color w:val="0F4761" w:themeColor="accent1" w:themeShade="BF"/>
    </w:rPr>
  </w:style>
  <w:style w:type="paragraph" w:styleId="IntenseQuote">
    <w:name w:val="Intense Quote"/>
    <w:basedOn w:val="Normal"/>
    <w:next w:val="Normal"/>
    <w:link w:val="IntenseQuoteChar"/>
    <w:uiPriority w:val="30"/>
    <w:qFormat/>
    <w:rsid w:val="0044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D6"/>
    <w:rPr>
      <w:i/>
      <w:iCs/>
      <w:color w:val="0F4761" w:themeColor="accent1" w:themeShade="BF"/>
    </w:rPr>
  </w:style>
  <w:style w:type="character" w:styleId="IntenseReference">
    <w:name w:val="Intense Reference"/>
    <w:basedOn w:val="DefaultParagraphFont"/>
    <w:uiPriority w:val="32"/>
    <w:qFormat/>
    <w:rsid w:val="004407D6"/>
    <w:rPr>
      <w:b/>
      <w:bCs/>
      <w:smallCaps/>
      <w:color w:val="0F4761" w:themeColor="accent1" w:themeShade="BF"/>
      <w:spacing w:val="5"/>
    </w:rPr>
  </w:style>
  <w:style w:type="paragraph" w:styleId="Header">
    <w:name w:val="header"/>
    <w:basedOn w:val="Normal"/>
    <w:link w:val="HeaderChar"/>
    <w:uiPriority w:val="99"/>
    <w:unhideWhenUsed/>
    <w:rsid w:val="0044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D6"/>
  </w:style>
  <w:style w:type="paragraph" w:styleId="Footer">
    <w:name w:val="footer"/>
    <w:basedOn w:val="Normal"/>
    <w:link w:val="FooterChar"/>
    <w:uiPriority w:val="99"/>
    <w:unhideWhenUsed/>
    <w:rsid w:val="0044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D6"/>
  </w:style>
  <w:style w:type="character" w:styleId="Hyperlink">
    <w:name w:val="Hyperlink"/>
    <w:basedOn w:val="DefaultParagraphFont"/>
    <w:uiPriority w:val="99"/>
    <w:unhideWhenUsed/>
    <w:rsid w:val="004407D6"/>
    <w:rPr>
      <w:color w:val="467886" w:themeColor="hyperlink"/>
      <w:u w:val="single"/>
    </w:rPr>
  </w:style>
  <w:style w:type="character" w:styleId="UnresolvedMention">
    <w:name w:val="Unresolved Mention"/>
    <w:basedOn w:val="DefaultParagraphFont"/>
    <w:uiPriority w:val="99"/>
    <w:semiHidden/>
    <w:unhideWhenUsed/>
    <w:rsid w:val="0044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2700</Characters>
  <Application>Microsoft Office Word</Application>
  <DocSecurity>0</DocSecurity>
  <Lines>192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Merryfield</dc:creator>
  <cp:keywords/>
  <dc:description/>
  <cp:lastModifiedBy>Ryan Parker</cp:lastModifiedBy>
  <cp:revision>2</cp:revision>
  <dcterms:created xsi:type="dcterms:W3CDTF">2026-05-12T12:25:00Z</dcterms:created>
  <dcterms:modified xsi:type="dcterms:W3CDTF">2026-05-12T12:25:00Z</dcterms:modified>
</cp:coreProperties>
</file>