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BC6C6" w14:textId="77777777" w:rsidR="00AC053A" w:rsidRPr="0042687B" w:rsidRDefault="00AC053A" w:rsidP="00A87C0A">
      <w:pPr>
        <w:pStyle w:val="Heading1"/>
        <w:tabs>
          <w:tab w:val="left" w:pos="10206"/>
        </w:tabs>
        <w:ind w:left="284" w:right="260" w:firstLine="283"/>
        <w:rPr>
          <w:rFonts w:ascii="Arial" w:hAnsi="Arial" w:cs="Arial"/>
          <w:sz w:val="22"/>
          <w:szCs w:val="22"/>
        </w:rPr>
        <w:sectPr w:rsidR="00AC053A" w:rsidRPr="0042687B" w:rsidSect="00A87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282" w:bottom="720" w:left="720" w:header="284" w:footer="284" w:gutter="0"/>
          <w:cols w:space="708"/>
          <w:titlePg/>
          <w:docGrid w:linePitch="360"/>
        </w:sectPr>
      </w:pPr>
    </w:p>
    <w:p w14:paraId="76559BDA" w14:textId="77777777" w:rsidR="00A01D3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  <w:r w:rsidRPr="00A01D31">
        <w:rPr>
          <w:rFonts w:ascii="Arial" w:hAnsi="Arial" w:cs="Arial"/>
          <w:b/>
          <w:sz w:val="20"/>
        </w:rPr>
        <w:t>Best practice guidance</w:t>
      </w:r>
    </w:p>
    <w:p w14:paraId="4D48F933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</w:p>
    <w:p w14:paraId="038CEEE0" w14:textId="721494C9" w:rsid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 xml:space="preserve">This summer CTSI </w:t>
      </w:r>
      <w:r w:rsidR="00787FA5">
        <w:rPr>
          <w:rFonts w:ascii="Arial" w:hAnsi="Arial" w:cs="Arial"/>
          <w:sz w:val="20"/>
        </w:rPr>
        <w:t>is</w:t>
      </w:r>
      <w:r w:rsidRPr="00A01D31">
        <w:rPr>
          <w:rFonts w:ascii="Arial" w:hAnsi="Arial" w:cs="Arial"/>
          <w:sz w:val="20"/>
        </w:rPr>
        <w:t xml:space="preserve"> planning to publish a best practice guide highlighting the good work </w:t>
      </w:r>
      <w:r w:rsidR="00787FA5">
        <w:rPr>
          <w:rFonts w:ascii="Arial" w:hAnsi="Arial" w:cs="Arial"/>
          <w:sz w:val="20"/>
        </w:rPr>
        <w:t xml:space="preserve">of </w:t>
      </w:r>
      <w:r w:rsidRPr="00A01D31">
        <w:rPr>
          <w:rFonts w:ascii="Arial" w:hAnsi="Arial" w:cs="Arial"/>
          <w:sz w:val="20"/>
        </w:rPr>
        <w:t>trading standards departments – indicating where similar initiatives could be taken in the future by other local authorities.</w:t>
      </w:r>
    </w:p>
    <w:p w14:paraId="50B4B694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3FCD363D" w14:textId="77777777" w:rsid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It is well known from previous CTSI research that trading standards services find the</w:t>
      </w:r>
      <w:r w:rsidR="008611D8">
        <w:rPr>
          <w:rFonts w:ascii="Arial" w:hAnsi="Arial" w:cs="Arial"/>
          <w:sz w:val="20"/>
        </w:rPr>
        <w:t>mselves in a challenging situation</w:t>
      </w:r>
      <w:r w:rsidRPr="00A01D31">
        <w:rPr>
          <w:rFonts w:ascii="Arial" w:hAnsi="Arial" w:cs="Arial"/>
          <w:sz w:val="20"/>
        </w:rPr>
        <w:t xml:space="preserve"> – facing budget cuts, a diminished position within some local authorities, and a growth in </w:t>
      </w:r>
      <w:r w:rsidR="008611D8">
        <w:rPr>
          <w:rFonts w:ascii="Arial" w:hAnsi="Arial" w:cs="Arial"/>
          <w:sz w:val="20"/>
        </w:rPr>
        <w:t>demand from an aging population</w:t>
      </w:r>
      <w:r w:rsidRPr="00A01D31">
        <w:rPr>
          <w:rFonts w:ascii="Arial" w:hAnsi="Arial" w:cs="Arial"/>
          <w:sz w:val="20"/>
        </w:rPr>
        <w:t xml:space="preserve"> and online markets.</w:t>
      </w:r>
    </w:p>
    <w:p w14:paraId="3EA6A045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195F564E" w14:textId="0F0C0001" w:rsid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However, despite the challenges</w:t>
      </w:r>
      <w:r w:rsidR="00C63C12">
        <w:rPr>
          <w:rFonts w:ascii="Arial" w:hAnsi="Arial" w:cs="Arial"/>
          <w:sz w:val="20"/>
        </w:rPr>
        <w:t>,</w:t>
      </w:r>
      <w:r w:rsidRPr="00A01D31">
        <w:rPr>
          <w:rFonts w:ascii="Arial" w:hAnsi="Arial" w:cs="Arial"/>
          <w:sz w:val="20"/>
        </w:rPr>
        <w:t xml:space="preserve"> trading standards staff continue to carry out extraordinary work</w:t>
      </w:r>
      <w:r w:rsidR="005F5AC0">
        <w:rPr>
          <w:rFonts w:ascii="Arial" w:hAnsi="Arial" w:cs="Arial"/>
          <w:sz w:val="20"/>
        </w:rPr>
        <w:t xml:space="preserve"> to protect the public and advis</w:t>
      </w:r>
      <w:r w:rsidRPr="00A01D31">
        <w:rPr>
          <w:rFonts w:ascii="Arial" w:hAnsi="Arial" w:cs="Arial"/>
          <w:sz w:val="20"/>
        </w:rPr>
        <w:t xml:space="preserve">e businesses. </w:t>
      </w:r>
    </w:p>
    <w:p w14:paraId="797E9CA3" w14:textId="77777777" w:rsidR="008611D8" w:rsidRDefault="008611D8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094C2329" w14:textId="6BC28800" w:rsidR="008611D8" w:rsidRDefault="008611D8" w:rsidP="00A01D31">
      <w:pPr>
        <w:tabs>
          <w:tab w:val="left" w:pos="749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aim of </w:t>
      </w:r>
      <w:r w:rsidR="00C63C12">
        <w:rPr>
          <w:rFonts w:ascii="Arial" w:hAnsi="Arial" w:cs="Arial"/>
          <w:sz w:val="20"/>
        </w:rPr>
        <w:t xml:space="preserve">this </w:t>
      </w:r>
      <w:r w:rsidR="00787FA5">
        <w:rPr>
          <w:rFonts w:ascii="Arial" w:hAnsi="Arial" w:cs="Arial"/>
          <w:sz w:val="20"/>
        </w:rPr>
        <w:t>guide</w:t>
      </w:r>
      <w:r w:rsidR="00C63C12">
        <w:rPr>
          <w:rFonts w:ascii="Arial" w:hAnsi="Arial" w:cs="Arial"/>
          <w:sz w:val="20"/>
        </w:rPr>
        <w:t xml:space="preserve"> is to provide </w:t>
      </w:r>
      <w:r>
        <w:rPr>
          <w:rFonts w:ascii="Arial" w:hAnsi="Arial" w:cs="Arial"/>
          <w:sz w:val="20"/>
        </w:rPr>
        <w:t>evidence of best practice that can be used by trading standards services in the future</w:t>
      </w:r>
      <w:r w:rsidR="00787F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787FA5">
        <w:rPr>
          <w:rFonts w:ascii="Arial" w:hAnsi="Arial" w:cs="Arial"/>
          <w:sz w:val="20"/>
        </w:rPr>
        <w:t>demonstrating</w:t>
      </w:r>
      <w:r>
        <w:rPr>
          <w:rFonts w:ascii="Arial" w:hAnsi="Arial" w:cs="Arial"/>
          <w:sz w:val="20"/>
        </w:rPr>
        <w:t xml:space="preserve"> either how</w:t>
      </w:r>
      <w:r w:rsidR="00787FA5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work they are doing reflects nationally highlighted best practice</w:t>
      </w:r>
      <w:r w:rsidR="00787F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or to suggest projects that could benefit their area.</w:t>
      </w:r>
      <w:r w:rsidR="00C63C12">
        <w:rPr>
          <w:rFonts w:ascii="Arial" w:hAnsi="Arial" w:cs="Arial"/>
          <w:sz w:val="20"/>
        </w:rPr>
        <w:t xml:space="preserve"> </w:t>
      </w:r>
    </w:p>
    <w:p w14:paraId="48ED9ECE" w14:textId="77777777" w:rsidR="00C63C12" w:rsidRDefault="00C63C12" w:rsidP="00C63C12">
      <w:pPr>
        <w:tabs>
          <w:tab w:val="left" w:pos="7496"/>
        </w:tabs>
        <w:ind w:left="0"/>
        <w:rPr>
          <w:rFonts w:ascii="Arial" w:hAnsi="Arial" w:cs="Arial"/>
          <w:sz w:val="20"/>
        </w:rPr>
      </w:pPr>
    </w:p>
    <w:p w14:paraId="5EF2268A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0ABD76F2" w14:textId="77777777" w:rsidR="00A01D3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  <w:r w:rsidRPr="00A01D31">
        <w:rPr>
          <w:rFonts w:ascii="Arial" w:hAnsi="Arial" w:cs="Arial"/>
          <w:b/>
          <w:sz w:val="20"/>
        </w:rPr>
        <w:t>Booklet and plenary audiences.</w:t>
      </w:r>
    </w:p>
    <w:p w14:paraId="2188CA3A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</w:p>
    <w:p w14:paraId="17C2E246" w14:textId="2CDCFB52" w:rsid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 xml:space="preserve">The booklet produced from this </w:t>
      </w:r>
      <w:r w:rsidR="00787FA5">
        <w:rPr>
          <w:rFonts w:ascii="Arial" w:hAnsi="Arial" w:cs="Arial"/>
          <w:sz w:val="20"/>
        </w:rPr>
        <w:t>project</w:t>
      </w:r>
      <w:r w:rsidRPr="00A01D31">
        <w:rPr>
          <w:rFonts w:ascii="Arial" w:hAnsi="Arial" w:cs="Arial"/>
          <w:sz w:val="20"/>
        </w:rPr>
        <w:t xml:space="preserve"> will primarily</w:t>
      </w:r>
      <w:bookmarkStart w:id="0" w:name="_GoBack"/>
      <w:bookmarkEnd w:id="0"/>
      <w:r w:rsidRPr="00A01D31">
        <w:rPr>
          <w:rFonts w:ascii="Arial" w:hAnsi="Arial" w:cs="Arial"/>
          <w:sz w:val="20"/>
        </w:rPr>
        <w:t xml:space="preserve"> be aimed at decision makers. It has been noted in the past that councillors do not understand the role their trading standards services play in protecting communities and assisting businesses</w:t>
      </w:r>
      <w:r w:rsidR="00C63C12">
        <w:rPr>
          <w:rFonts w:ascii="Arial" w:hAnsi="Arial" w:cs="Arial"/>
          <w:sz w:val="20"/>
        </w:rPr>
        <w:t xml:space="preserve"> – it is hoped thi</w:t>
      </w:r>
      <w:r w:rsidR="00FE1FBA">
        <w:rPr>
          <w:rFonts w:ascii="Arial" w:hAnsi="Arial" w:cs="Arial"/>
          <w:sz w:val="20"/>
        </w:rPr>
        <w:t xml:space="preserve">s document will assist </w:t>
      </w:r>
      <w:r w:rsidR="00FE1FBA" w:rsidRPr="00EE27B1">
        <w:rPr>
          <w:rFonts w:ascii="Arial" w:hAnsi="Arial" w:cs="Arial"/>
          <w:sz w:val="20"/>
        </w:rPr>
        <w:t xml:space="preserve">Local Services </w:t>
      </w:r>
      <w:r w:rsidR="00787FA5">
        <w:rPr>
          <w:rFonts w:ascii="Arial" w:hAnsi="Arial" w:cs="Arial"/>
          <w:sz w:val="20"/>
        </w:rPr>
        <w:t>in</w:t>
      </w:r>
      <w:r w:rsidR="00FE1FBA" w:rsidRPr="00EE27B1">
        <w:rPr>
          <w:rFonts w:ascii="Arial" w:hAnsi="Arial" w:cs="Arial"/>
          <w:sz w:val="20"/>
        </w:rPr>
        <w:t xml:space="preserve"> getting the message across to their members and senior managers</w:t>
      </w:r>
      <w:r w:rsidR="00C63C12">
        <w:rPr>
          <w:rFonts w:ascii="Arial" w:hAnsi="Arial" w:cs="Arial"/>
          <w:sz w:val="20"/>
        </w:rPr>
        <w:t>, as well as helping CTSI at a national level</w:t>
      </w:r>
      <w:r w:rsidRPr="00A01D31">
        <w:rPr>
          <w:rFonts w:ascii="Arial" w:hAnsi="Arial" w:cs="Arial"/>
          <w:sz w:val="20"/>
        </w:rPr>
        <w:t xml:space="preserve">. </w:t>
      </w:r>
    </w:p>
    <w:p w14:paraId="2A6F4AAF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573A4452" w14:textId="34A24105" w:rsidR="00EE27B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The plenary sessions</w:t>
      </w:r>
      <w:r w:rsidR="00C63C12">
        <w:rPr>
          <w:rFonts w:ascii="Arial" w:hAnsi="Arial" w:cs="Arial"/>
          <w:sz w:val="20"/>
        </w:rPr>
        <w:t xml:space="preserve"> at the Symposium</w:t>
      </w:r>
      <w:r w:rsidRPr="00A01D31">
        <w:rPr>
          <w:rFonts w:ascii="Arial" w:hAnsi="Arial" w:cs="Arial"/>
          <w:sz w:val="20"/>
        </w:rPr>
        <w:t xml:space="preserve"> offer the chance to highlight work directly to</w:t>
      </w:r>
      <w:r w:rsidR="005B2D76">
        <w:rPr>
          <w:rFonts w:ascii="Arial" w:hAnsi="Arial" w:cs="Arial"/>
          <w:sz w:val="20"/>
        </w:rPr>
        <w:t xml:space="preserve"> the profession</w:t>
      </w:r>
      <w:r w:rsidR="00EE27B1">
        <w:rPr>
          <w:rFonts w:ascii="Arial" w:hAnsi="Arial" w:cs="Arial"/>
          <w:sz w:val="20"/>
        </w:rPr>
        <w:t xml:space="preserve">. Each project selected will have 20 minutes to discuss their project from the main stage on either the Tuesday or Wednesday of </w:t>
      </w:r>
      <w:r w:rsidR="00787FA5">
        <w:rPr>
          <w:rFonts w:ascii="Arial" w:hAnsi="Arial" w:cs="Arial"/>
          <w:sz w:val="20"/>
        </w:rPr>
        <w:t>S</w:t>
      </w:r>
      <w:r w:rsidR="00EE27B1">
        <w:rPr>
          <w:rFonts w:ascii="Arial" w:hAnsi="Arial" w:cs="Arial"/>
          <w:sz w:val="20"/>
        </w:rPr>
        <w:t>ymposium.</w:t>
      </w:r>
      <w:r w:rsidR="005B2D76">
        <w:rPr>
          <w:rFonts w:ascii="Arial" w:hAnsi="Arial" w:cs="Arial"/>
          <w:sz w:val="20"/>
        </w:rPr>
        <w:t xml:space="preserve"> </w:t>
      </w:r>
    </w:p>
    <w:p w14:paraId="6B802C41" w14:textId="77777777" w:rsidR="00EE27B1" w:rsidRDefault="00EE27B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0A90D858" w14:textId="2F2E9C98" w:rsidR="00A01D31" w:rsidRDefault="005B2D76" w:rsidP="00A01D31">
      <w:pPr>
        <w:tabs>
          <w:tab w:val="left" w:pos="749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1D31" w:rsidRPr="00A01D31">
        <w:rPr>
          <w:rFonts w:ascii="Arial" w:hAnsi="Arial" w:cs="Arial"/>
          <w:sz w:val="20"/>
        </w:rPr>
        <w:t xml:space="preserve">upporting documentation </w:t>
      </w:r>
      <w:r>
        <w:rPr>
          <w:rFonts w:ascii="Arial" w:hAnsi="Arial" w:cs="Arial"/>
          <w:sz w:val="20"/>
        </w:rPr>
        <w:t>can be m</w:t>
      </w:r>
      <w:r w:rsidR="00A01D31" w:rsidRPr="00A01D31">
        <w:rPr>
          <w:rFonts w:ascii="Arial" w:hAnsi="Arial" w:cs="Arial"/>
          <w:sz w:val="20"/>
        </w:rPr>
        <w:t>ade available in the member’s area of the CTSI website so that other professionals may use them in similar project work.</w:t>
      </w:r>
    </w:p>
    <w:p w14:paraId="71C8675B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30320186" w14:textId="4B5F532D" w:rsid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Both</w:t>
      </w:r>
      <w:r w:rsidR="00EE27B1">
        <w:rPr>
          <w:rFonts w:ascii="Arial" w:hAnsi="Arial" w:cs="Arial"/>
          <w:sz w:val="20"/>
        </w:rPr>
        <w:t xml:space="preserve"> the guide and plenary</w:t>
      </w:r>
      <w:r w:rsidRPr="00A01D31">
        <w:rPr>
          <w:rFonts w:ascii="Arial" w:hAnsi="Arial" w:cs="Arial"/>
          <w:sz w:val="20"/>
        </w:rPr>
        <w:t xml:space="preserve"> will offer local authority trading standards services the chance to gain positive publicity for their authority at a national level, highlighting that their professional body recognises the excellent work that they have done. </w:t>
      </w:r>
    </w:p>
    <w:p w14:paraId="09714813" w14:textId="77777777" w:rsidR="00A01D31" w:rsidRPr="00A01D31" w:rsidRDefault="00A01D31" w:rsidP="00A01D31">
      <w:pPr>
        <w:tabs>
          <w:tab w:val="left" w:pos="7496"/>
        </w:tabs>
        <w:rPr>
          <w:rFonts w:ascii="Arial" w:hAnsi="Arial" w:cs="Arial"/>
          <w:sz w:val="20"/>
        </w:rPr>
      </w:pPr>
    </w:p>
    <w:p w14:paraId="59E6C4F0" w14:textId="77777777" w:rsidR="00C63C12" w:rsidRDefault="00C63C12" w:rsidP="00C63C12">
      <w:pPr>
        <w:tabs>
          <w:tab w:val="left" w:pos="7496"/>
        </w:tabs>
        <w:rPr>
          <w:rFonts w:ascii="Arial" w:hAnsi="Arial" w:cs="Arial"/>
          <w:b/>
          <w:sz w:val="20"/>
        </w:rPr>
      </w:pPr>
      <w:r w:rsidRPr="00A01D31">
        <w:rPr>
          <w:rFonts w:ascii="Arial" w:hAnsi="Arial" w:cs="Arial"/>
          <w:b/>
          <w:sz w:val="20"/>
        </w:rPr>
        <w:t>Timeframe</w:t>
      </w:r>
    </w:p>
    <w:p w14:paraId="051E0255" w14:textId="77777777" w:rsidR="00C63C12" w:rsidRPr="00A01D31" w:rsidRDefault="00C63C12" w:rsidP="00C63C12">
      <w:pPr>
        <w:tabs>
          <w:tab w:val="left" w:pos="7496"/>
        </w:tabs>
        <w:rPr>
          <w:rFonts w:ascii="Arial" w:hAnsi="Arial" w:cs="Arial"/>
          <w:b/>
          <w:sz w:val="20"/>
        </w:rPr>
      </w:pPr>
    </w:p>
    <w:p w14:paraId="6B4C33DE" w14:textId="7F2E6B34" w:rsidR="00C63C12" w:rsidRDefault="00C63C12" w:rsidP="00C63C12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We</w:t>
      </w:r>
      <w:r w:rsidR="00C660A7">
        <w:rPr>
          <w:rFonts w:ascii="Arial" w:hAnsi="Arial" w:cs="Arial"/>
          <w:sz w:val="20"/>
        </w:rPr>
        <w:t xml:space="preserve"> have</w:t>
      </w:r>
      <w:r w:rsidRPr="00A01D31">
        <w:rPr>
          <w:rFonts w:ascii="Arial" w:hAnsi="Arial" w:cs="Arial"/>
          <w:sz w:val="20"/>
        </w:rPr>
        <w:t xml:space="preserve"> launch</w:t>
      </w:r>
      <w:r w:rsidR="00C660A7">
        <w:rPr>
          <w:rFonts w:ascii="Arial" w:hAnsi="Arial" w:cs="Arial"/>
          <w:sz w:val="20"/>
        </w:rPr>
        <w:t>ed</w:t>
      </w:r>
      <w:r w:rsidRPr="00A01D31">
        <w:rPr>
          <w:rFonts w:ascii="Arial" w:hAnsi="Arial" w:cs="Arial"/>
          <w:sz w:val="20"/>
        </w:rPr>
        <w:t xml:space="preserve"> a cal</w:t>
      </w:r>
      <w:r>
        <w:rPr>
          <w:rFonts w:ascii="Arial" w:hAnsi="Arial" w:cs="Arial"/>
          <w:sz w:val="20"/>
        </w:rPr>
        <w:t>l for evidence in January via ACTSO</w:t>
      </w:r>
      <w:r w:rsidRPr="00A01D31">
        <w:rPr>
          <w:rFonts w:ascii="Arial" w:hAnsi="Arial" w:cs="Arial"/>
          <w:sz w:val="20"/>
        </w:rPr>
        <w:t xml:space="preserve">, WHOTS, </w:t>
      </w:r>
      <w:r w:rsidR="00C660A7">
        <w:rPr>
          <w:rFonts w:ascii="Arial" w:hAnsi="Arial" w:cs="Arial"/>
          <w:sz w:val="20"/>
        </w:rPr>
        <w:t>SCOTTS</w:t>
      </w:r>
      <w:r w:rsidRPr="00A01D31">
        <w:rPr>
          <w:rFonts w:ascii="Arial" w:hAnsi="Arial" w:cs="Arial"/>
          <w:sz w:val="20"/>
        </w:rPr>
        <w:t xml:space="preserve"> and TSNI</w:t>
      </w:r>
      <w:r w:rsidR="00787FA5">
        <w:rPr>
          <w:rFonts w:ascii="Arial" w:hAnsi="Arial" w:cs="Arial"/>
          <w:sz w:val="20"/>
        </w:rPr>
        <w:t>.</w:t>
      </w:r>
      <w:r w:rsidRPr="00A01D31">
        <w:rPr>
          <w:rFonts w:ascii="Arial" w:hAnsi="Arial" w:cs="Arial"/>
          <w:sz w:val="20"/>
        </w:rPr>
        <w:t xml:space="preserve"> </w:t>
      </w:r>
    </w:p>
    <w:p w14:paraId="656EC64E" w14:textId="77777777" w:rsidR="00C63C12" w:rsidRPr="00A01D31" w:rsidRDefault="00C63C12" w:rsidP="00C63C12">
      <w:pPr>
        <w:tabs>
          <w:tab w:val="left" w:pos="7496"/>
        </w:tabs>
        <w:rPr>
          <w:rFonts w:ascii="Arial" w:hAnsi="Arial" w:cs="Arial"/>
          <w:sz w:val="20"/>
        </w:rPr>
      </w:pPr>
    </w:p>
    <w:p w14:paraId="65BA8583" w14:textId="574F059A" w:rsidR="00C63C12" w:rsidRDefault="00C63C12" w:rsidP="00C63C12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 xml:space="preserve">There will be a rolling assessment of </w:t>
      </w:r>
      <w:r>
        <w:rPr>
          <w:rFonts w:ascii="Arial" w:hAnsi="Arial" w:cs="Arial"/>
          <w:sz w:val="20"/>
        </w:rPr>
        <w:t>submissions</w:t>
      </w:r>
      <w:r w:rsidR="00787F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w</w:t>
      </w:r>
      <w:r w:rsidRPr="00A01D31">
        <w:rPr>
          <w:rFonts w:ascii="Arial" w:hAnsi="Arial" w:cs="Arial"/>
          <w:sz w:val="20"/>
        </w:rPr>
        <w:t xml:space="preserve">ith a </w:t>
      </w:r>
      <w:r w:rsidR="00787FA5">
        <w:rPr>
          <w:rFonts w:ascii="Arial" w:hAnsi="Arial" w:cs="Arial"/>
          <w:sz w:val="20"/>
        </w:rPr>
        <w:t xml:space="preserve">final </w:t>
      </w:r>
      <w:r w:rsidRPr="00A01D31">
        <w:rPr>
          <w:rFonts w:ascii="Arial" w:hAnsi="Arial" w:cs="Arial"/>
          <w:sz w:val="20"/>
        </w:rPr>
        <w:t>deadline</w:t>
      </w:r>
      <w:r>
        <w:rPr>
          <w:rFonts w:ascii="Arial" w:hAnsi="Arial" w:cs="Arial"/>
          <w:sz w:val="20"/>
        </w:rPr>
        <w:t xml:space="preserve"> on the 1</w:t>
      </w:r>
      <w:r w:rsidRPr="008611D8"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May</w:t>
      </w:r>
      <w:r w:rsidRPr="00A01D31">
        <w:rPr>
          <w:rFonts w:ascii="Arial" w:hAnsi="Arial" w:cs="Arial"/>
          <w:sz w:val="20"/>
        </w:rPr>
        <w:t xml:space="preserve">. </w:t>
      </w:r>
      <w:r w:rsidR="00787FA5">
        <w:rPr>
          <w:rFonts w:ascii="Arial" w:hAnsi="Arial" w:cs="Arial"/>
          <w:sz w:val="20"/>
        </w:rPr>
        <w:t xml:space="preserve">Selected </w:t>
      </w:r>
      <w:r w:rsidR="00965B7E">
        <w:rPr>
          <w:rFonts w:ascii="Arial" w:hAnsi="Arial" w:cs="Arial"/>
          <w:sz w:val="20"/>
        </w:rPr>
        <w:t xml:space="preserve">authorities </w:t>
      </w:r>
      <w:r w:rsidR="00965B7E" w:rsidRPr="00A01D31">
        <w:rPr>
          <w:rFonts w:ascii="Arial" w:hAnsi="Arial" w:cs="Arial"/>
          <w:sz w:val="20"/>
        </w:rPr>
        <w:t>will</w:t>
      </w:r>
      <w:r w:rsidRPr="00A01D31">
        <w:rPr>
          <w:rFonts w:ascii="Arial" w:hAnsi="Arial" w:cs="Arial"/>
          <w:sz w:val="20"/>
        </w:rPr>
        <w:t xml:space="preserve"> be asked to present </w:t>
      </w:r>
      <w:r w:rsidR="00787FA5">
        <w:rPr>
          <w:rFonts w:ascii="Arial" w:hAnsi="Arial" w:cs="Arial"/>
          <w:sz w:val="20"/>
        </w:rPr>
        <w:t xml:space="preserve">their project </w:t>
      </w:r>
      <w:r w:rsidRPr="00A01D31">
        <w:rPr>
          <w:rFonts w:ascii="Arial" w:hAnsi="Arial" w:cs="Arial"/>
          <w:sz w:val="20"/>
        </w:rPr>
        <w:t xml:space="preserve">at </w:t>
      </w:r>
      <w:r w:rsidR="00965B7E">
        <w:rPr>
          <w:rFonts w:ascii="Arial" w:hAnsi="Arial" w:cs="Arial"/>
          <w:sz w:val="20"/>
        </w:rPr>
        <w:t>symposium</w:t>
      </w:r>
      <w:r w:rsidR="00787FA5">
        <w:rPr>
          <w:rFonts w:ascii="Arial" w:hAnsi="Arial" w:cs="Arial"/>
          <w:sz w:val="20"/>
        </w:rPr>
        <w:t>, and</w:t>
      </w:r>
      <w:r w:rsidRPr="00A01D31">
        <w:rPr>
          <w:rFonts w:ascii="Arial" w:hAnsi="Arial" w:cs="Arial"/>
          <w:sz w:val="20"/>
        </w:rPr>
        <w:t xml:space="preserve"> will be contacted throughout April and May</w:t>
      </w:r>
      <w:r w:rsidR="00787FA5">
        <w:rPr>
          <w:rFonts w:ascii="Arial" w:hAnsi="Arial" w:cs="Arial"/>
          <w:sz w:val="20"/>
        </w:rPr>
        <w:t>. The</w:t>
      </w:r>
      <w:r w:rsidRPr="00A01D31">
        <w:rPr>
          <w:rFonts w:ascii="Arial" w:hAnsi="Arial" w:cs="Arial"/>
          <w:sz w:val="20"/>
        </w:rPr>
        <w:t xml:space="preserve"> booklet </w:t>
      </w:r>
      <w:r w:rsidR="00787FA5">
        <w:rPr>
          <w:rFonts w:ascii="Arial" w:hAnsi="Arial" w:cs="Arial"/>
          <w:sz w:val="20"/>
        </w:rPr>
        <w:t>will</w:t>
      </w:r>
      <w:r w:rsidRPr="00A01D31">
        <w:rPr>
          <w:rFonts w:ascii="Arial" w:hAnsi="Arial" w:cs="Arial"/>
          <w:sz w:val="20"/>
        </w:rPr>
        <w:t xml:space="preserve"> be circulated to those </w:t>
      </w:r>
      <w:r w:rsidR="00787FA5">
        <w:rPr>
          <w:rFonts w:ascii="Arial" w:hAnsi="Arial" w:cs="Arial"/>
          <w:sz w:val="20"/>
        </w:rPr>
        <w:t>selected for sign-</w:t>
      </w:r>
      <w:r w:rsidR="00965B7E">
        <w:rPr>
          <w:rFonts w:ascii="Arial" w:hAnsi="Arial" w:cs="Arial"/>
          <w:sz w:val="20"/>
        </w:rPr>
        <w:t xml:space="preserve">off </w:t>
      </w:r>
      <w:r w:rsidR="00965B7E" w:rsidRPr="00A01D31">
        <w:rPr>
          <w:rFonts w:ascii="Arial" w:hAnsi="Arial" w:cs="Arial"/>
          <w:sz w:val="20"/>
        </w:rPr>
        <w:t>before</w:t>
      </w:r>
      <w:r w:rsidRPr="00A01D31">
        <w:rPr>
          <w:rFonts w:ascii="Arial" w:hAnsi="Arial" w:cs="Arial"/>
          <w:sz w:val="20"/>
        </w:rPr>
        <w:t xml:space="preserve"> final publication.</w:t>
      </w:r>
    </w:p>
    <w:p w14:paraId="3FA0D100" w14:textId="77777777" w:rsidR="00C63C12" w:rsidRPr="00A01D31" w:rsidRDefault="00C63C12" w:rsidP="00C63C12">
      <w:pPr>
        <w:tabs>
          <w:tab w:val="left" w:pos="7496"/>
        </w:tabs>
        <w:rPr>
          <w:rFonts w:ascii="Arial" w:hAnsi="Arial" w:cs="Arial"/>
          <w:sz w:val="20"/>
        </w:rPr>
      </w:pPr>
    </w:p>
    <w:p w14:paraId="177EC1BF" w14:textId="449B996A" w:rsidR="00C63C12" w:rsidRDefault="00C63C12" w:rsidP="00C63C12">
      <w:pPr>
        <w:tabs>
          <w:tab w:val="left" w:pos="7496"/>
        </w:tabs>
        <w:rPr>
          <w:rFonts w:ascii="Arial" w:hAnsi="Arial" w:cs="Arial"/>
          <w:sz w:val="20"/>
        </w:rPr>
      </w:pPr>
      <w:r w:rsidRPr="00A01D31">
        <w:rPr>
          <w:rFonts w:ascii="Arial" w:hAnsi="Arial" w:cs="Arial"/>
          <w:sz w:val="20"/>
        </w:rPr>
        <w:t>The bo</w:t>
      </w:r>
      <w:r>
        <w:rPr>
          <w:rFonts w:ascii="Arial" w:hAnsi="Arial" w:cs="Arial"/>
          <w:sz w:val="20"/>
        </w:rPr>
        <w:t>oklet will be launched at CTSI S</w:t>
      </w:r>
      <w:r w:rsidRPr="00A01D31">
        <w:rPr>
          <w:rFonts w:ascii="Arial" w:hAnsi="Arial" w:cs="Arial"/>
          <w:sz w:val="20"/>
        </w:rPr>
        <w:t>ymposium (4</w:t>
      </w:r>
      <w:r w:rsidRPr="00A01D31">
        <w:rPr>
          <w:rFonts w:ascii="Arial" w:hAnsi="Arial" w:cs="Arial"/>
          <w:sz w:val="20"/>
          <w:vertAlign w:val="superscript"/>
        </w:rPr>
        <w:t>th</w:t>
      </w:r>
      <w:r w:rsidRPr="00A01D31">
        <w:rPr>
          <w:rFonts w:ascii="Arial" w:hAnsi="Arial" w:cs="Arial"/>
          <w:sz w:val="20"/>
        </w:rPr>
        <w:t xml:space="preserve"> – 6</w:t>
      </w:r>
      <w:r w:rsidRPr="00A01D31">
        <w:rPr>
          <w:rFonts w:ascii="Arial" w:hAnsi="Arial" w:cs="Arial"/>
          <w:sz w:val="20"/>
          <w:vertAlign w:val="superscript"/>
        </w:rPr>
        <w:t>th</w:t>
      </w:r>
      <w:r w:rsidRPr="00A01D31">
        <w:rPr>
          <w:rFonts w:ascii="Arial" w:hAnsi="Arial" w:cs="Arial"/>
          <w:sz w:val="20"/>
        </w:rPr>
        <w:t xml:space="preserve"> June 2018)</w:t>
      </w:r>
      <w:r w:rsidR="00787FA5">
        <w:rPr>
          <w:rFonts w:ascii="Arial" w:hAnsi="Arial" w:cs="Arial"/>
          <w:sz w:val="20"/>
        </w:rPr>
        <w:t>,</w:t>
      </w:r>
      <w:r w:rsidRPr="00A01D31">
        <w:rPr>
          <w:rFonts w:ascii="Arial" w:hAnsi="Arial" w:cs="Arial"/>
          <w:sz w:val="20"/>
        </w:rPr>
        <w:t xml:space="preserve"> with </w:t>
      </w:r>
      <w:r w:rsidR="00787FA5">
        <w:rPr>
          <w:rFonts w:ascii="Arial" w:hAnsi="Arial" w:cs="Arial"/>
          <w:sz w:val="20"/>
        </w:rPr>
        <w:t xml:space="preserve">best practice </w:t>
      </w:r>
      <w:r w:rsidRPr="00A01D31">
        <w:rPr>
          <w:rFonts w:ascii="Arial" w:hAnsi="Arial" w:cs="Arial"/>
          <w:sz w:val="20"/>
        </w:rPr>
        <w:t xml:space="preserve">plenaries </w:t>
      </w:r>
      <w:r w:rsidR="00787FA5">
        <w:rPr>
          <w:rFonts w:ascii="Arial" w:hAnsi="Arial" w:cs="Arial"/>
          <w:sz w:val="20"/>
        </w:rPr>
        <w:t xml:space="preserve">taking place </w:t>
      </w:r>
      <w:r w:rsidRPr="00A01D31">
        <w:rPr>
          <w:rFonts w:ascii="Arial" w:hAnsi="Arial" w:cs="Arial"/>
          <w:sz w:val="20"/>
        </w:rPr>
        <w:t>on the 5</w:t>
      </w:r>
      <w:r w:rsidRPr="00A01D31">
        <w:rPr>
          <w:rFonts w:ascii="Arial" w:hAnsi="Arial" w:cs="Arial"/>
          <w:sz w:val="20"/>
          <w:vertAlign w:val="superscript"/>
        </w:rPr>
        <w:t>th</w:t>
      </w:r>
      <w:r w:rsidRPr="00A01D31">
        <w:rPr>
          <w:rFonts w:ascii="Arial" w:hAnsi="Arial" w:cs="Arial"/>
          <w:sz w:val="20"/>
        </w:rPr>
        <w:t xml:space="preserve"> and 6</w:t>
      </w:r>
      <w:r w:rsidRPr="00A01D31">
        <w:rPr>
          <w:rFonts w:ascii="Arial" w:hAnsi="Arial" w:cs="Arial"/>
          <w:sz w:val="20"/>
          <w:vertAlign w:val="superscript"/>
        </w:rPr>
        <w:t>th</w:t>
      </w:r>
      <w:r w:rsidRPr="00A01D31">
        <w:rPr>
          <w:rFonts w:ascii="Arial" w:hAnsi="Arial" w:cs="Arial"/>
          <w:sz w:val="20"/>
        </w:rPr>
        <w:t xml:space="preserve"> June</w:t>
      </w:r>
      <w:r w:rsidR="00787FA5">
        <w:rPr>
          <w:rFonts w:ascii="Arial" w:hAnsi="Arial" w:cs="Arial"/>
          <w:sz w:val="20"/>
        </w:rPr>
        <w:t>.</w:t>
      </w:r>
    </w:p>
    <w:p w14:paraId="74DB8092" w14:textId="77777777" w:rsidR="00C63C12" w:rsidRDefault="00C63C12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</w:p>
    <w:p w14:paraId="23E0461F" w14:textId="77777777" w:rsidR="00A01D3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  <w:r w:rsidRPr="00A01D31">
        <w:rPr>
          <w:rFonts w:ascii="Arial" w:hAnsi="Arial" w:cs="Arial"/>
          <w:b/>
          <w:sz w:val="20"/>
        </w:rPr>
        <w:t>Criteria</w:t>
      </w:r>
    </w:p>
    <w:p w14:paraId="6DEEC815" w14:textId="77777777" w:rsidR="00A01D31" w:rsidRPr="00EE27B1" w:rsidRDefault="00A01D31" w:rsidP="00A01D31">
      <w:pPr>
        <w:tabs>
          <w:tab w:val="left" w:pos="7496"/>
        </w:tabs>
        <w:rPr>
          <w:rFonts w:ascii="Arial" w:hAnsi="Arial" w:cs="Arial"/>
          <w:b/>
          <w:sz w:val="20"/>
        </w:rPr>
      </w:pPr>
    </w:p>
    <w:p w14:paraId="7C7ED000" w14:textId="75949C0A" w:rsidR="005B2D76" w:rsidRDefault="005B2D76" w:rsidP="00A01D31">
      <w:pPr>
        <w:tabs>
          <w:tab w:val="left" w:pos="7496"/>
        </w:tabs>
        <w:rPr>
          <w:rFonts w:ascii="Arial" w:hAnsi="Arial" w:cs="Arial"/>
          <w:sz w:val="20"/>
        </w:rPr>
      </w:pPr>
      <w:r w:rsidRPr="00EE27B1">
        <w:rPr>
          <w:rFonts w:ascii="Arial" w:hAnsi="Arial" w:cs="Arial"/>
          <w:sz w:val="20"/>
        </w:rPr>
        <w:t>We are mainly lo</w:t>
      </w:r>
      <w:r w:rsidR="00FE1FBA" w:rsidRPr="00EE27B1">
        <w:rPr>
          <w:rFonts w:ascii="Arial" w:hAnsi="Arial" w:cs="Arial"/>
          <w:sz w:val="20"/>
        </w:rPr>
        <w:t>oking for examples that ha</w:t>
      </w:r>
      <w:r w:rsidR="00787FA5">
        <w:rPr>
          <w:rFonts w:ascii="Arial" w:hAnsi="Arial" w:cs="Arial"/>
          <w:sz w:val="20"/>
        </w:rPr>
        <w:t>ve</w:t>
      </w:r>
      <w:r w:rsidR="00FE1FBA" w:rsidRPr="00EE27B1">
        <w:rPr>
          <w:rFonts w:ascii="Arial" w:hAnsi="Arial" w:cs="Arial"/>
          <w:sz w:val="20"/>
        </w:rPr>
        <w:t xml:space="preserve"> been carried out by local </w:t>
      </w:r>
      <w:r w:rsidRPr="00EE27B1">
        <w:rPr>
          <w:rFonts w:ascii="Arial" w:hAnsi="Arial" w:cs="Arial"/>
          <w:sz w:val="20"/>
        </w:rPr>
        <w:t>service</w:t>
      </w:r>
      <w:r w:rsidR="00FE1FBA" w:rsidRPr="00EE27B1">
        <w:rPr>
          <w:rFonts w:ascii="Arial" w:hAnsi="Arial" w:cs="Arial"/>
          <w:sz w:val="20"/>
        </w:rPr>
        <w:t>s under own initiative or working with other partners</w:t>
      </w:r>
      <w:r w:rsidRPr="00EE27B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The questions look to establish how projects were set up and how they operated – but also to establish what measurable impacts were achieved both for consumers/businesses and for local authorities. We are flexible to whether projects involved a single authority or partnerships.</w:t>
      </w:r>
    </w:p>
    <w:p w14:paraId="27FE924D" w14:textId="77777777" w:rsidR="008611D8" w:rsidRDefault="008611D8" w:rsidP="00A87C0A">
      <w:pPr>
        <w:tabs>
          <w:tab w:val="left" w:pos="7496"/>
        </w:tabs>
        <w:rPr>
          <w:rFonts w:ascii="Arial" w:hAnsi="Arial" w:cs="Arial"/>
          <w:sz w:val="20"/>
        </w:rPr>
      </w:pPr>
    </w:p>
    <w:p w14:paraId="6C3F6904" w14:textId="51F43154" w:rsidR="00C00FF0" w:rsidRDefault="00965B7E" w:rsidP="00A87C0A">
      <w:pPr>
        <w:tabs>
          <w:tab w:val="left" w:pos="749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submit your entry please email policy@tsi.org.uk</w:t>
      </w:r>
      <w:r w:rsidR="00A87C0A">
        <w:rPr>
          <w:rFonts w:ascii="Arial" w:hAnsi="Arial" w:cs="Arial"/>
          <w:sz w:val="20"/>
        </w:rPr>
        <w:tab/>
      </w:r>
    </w:p>
    <w:sectPr w:rsidR="00C00FF0" w:rsidSect="00A87C0A">
      <w:type w:val="continuous"/>
      <w:pgSz w:w="11906" w:h="16838" w:code="9"/>
      <w:pgMar w:top="238" w:right="282" w:bottom="249" w:left="33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24648" w14:textId="77777777" w:rsidR="00A01D31" w:rsidRDefault="00A01D31" w:rsidP="00C15B40">
      <w:r>
        <w:separator/>
      </w:r>
    </w:p>
  </w:endnote>
  <w:endnote w:type="continuationSeparator" w:id="0">
    <w:p w14:paraId="4622B1B0" w14:textId="77777777" w:rsidR="00A01D31" w:rsidRDefault="00A01D31" w:rsidP="00C1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Std">
    <w:altName w:val="Meiryo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6022" w14:textId="77777777" w:rsidR="00FA466B" w:rsidRDefault="00FA4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C75C0" w14:textId="77777777" w:rsidR="00FA466B" w:rsidRDefault="00FA4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72FC" w14:textId="77777777" w:rsidR="00A6391D" w:rsidRPr="00FA466B" w:rsidRDefault="00A01D31" w:rsidP="004D5EF6">
    <w:pPr>
      <w:pStyle w:val="Footer"/>
      <w:ind w:left="0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b/>
        <w:noProof/>
        <w:color w:val="A5027D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C3347" wp14:editId="6607E157">
              <wp:simplePos x="0" y="0"/>
              <wp:positionH relativeFrom="column">
                <wp:posOffset>6575425</wp:posOffset>
              </wp:positionH>
              <wp:positionV relativeFrom="paragraph">
                <wp:posOffset>324485</wp:posOffset>
              </wp:positionV>
              <wp:extent cx="1481455" cy="1044575"/>
              <wp:effectExtent l="3175" t="635" r="127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145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CA96F" w14:textId="77777777" w:rsidR="00A6391D" w:rsidRPr="00A87C0A" w:rsidRDefault="00A6391D" w:rsidP="00A87C0A">
                          <w:pPr>
                            <w:ind w:left="0" w:firstLine="851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.75pt;margin-top:25.55pt;width:116.65pt;height: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" filled="f" stroked="f" strokecolor="white">
              <v:textbox>
                <w:txbxContent>
                  <w:p w:rsidR="00A6391D" w:rsidRPr="00A87C0A" w:rsidRDefault="00A6391D" w:rsidP="00A87C0A">
                    <w:pPr>
                      <w:ind w:left="0" w:firstLine="851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6391D">
      <w:rPr>
        <w:rFonts w:ascii="Arial" w:hAnsi="Arial" w:cs="Arial"/>
        <w:b/>
        <w:noProof/>
        <w:color w:val="A5027D"/>
        <w:lang w:eastAsia="en-GB"/>
      </w:rPr>
      <w:t>www.tradingstandards.uk</w:t>
    </w:r>
    <w:r w:rsidR="00A6391D" w:rsidRPr="00EE1E3D">
      <w:rPr>
        <w:rFonts w:ascii="Arial" w:hAnsi="Arial" w:cs="Arial"/>
        <w:b/>
        <w:noProof/>
        <w:color w:val="A5027D"/>
        <w:lang w:eastAsia="en-GB"/>
      </w:rPr>
      <w:tab/>
    </w:r>
    <w:r w:rsidR="00A6391D" w:rsidRPr="00EE1E3D">
      <w:rPr>
        <w:rFonts w:ascii="Arial" w:hAnsi="Arial" w:cs="Arial"/>
        <w:b/>
        <w:noProof/>
        <w:color w:val="A5027D"/>
        <w:lang w:eastAsia="en-GB"/>
      </w:rPr>
      <w:tab/>
    </w:r>
    <w:r w:rsidR="00A6391D">
      <w:rPr>
        <w:rFonts w:ascii="Arial" w:hAnsi="Arial" w:cs="Arial"/>
        <w:b/>
        <w:noProof/>
        <w:color w:val="A5027D"/>
        <w:lang w:eastAsia="en-GB"/>
      </w:rPr>
      <w:t xml:space="preserve">  </w:t>
    </w:r>
    <w:r w:rsidR="00FA466B">
      <w:rPr>
        <w:rFonts w:ascii="Arial" w:hAnsi="Arial" w:cs="Arial"/>
        <w:b/>
        <w:noProof/>
        <w:color w:val="A5027D"/>
        <w:lang w:eastAsia="en-GB"/>
      </w:rPr>
      <w:t xml:space="preserve">           </w:t>
    </w:r>
    <w:r w:rsidR="00FA466B">
      <w:rPr>
        <w:rFonts w:ascii="Neo Sans Std" w:hAnsi="Neo Sans Std" w:cs="Arial"/>
        <w:noProof/>
        <w:lang w:eastAsia="en-GB"/>
      </w:rPr>
      <w:t>CT</w:t>
    </w:r>
    <w:r w:rsidR="00A6391D" w:rsidRPr="00EE1E3D">
      <w:rPr>
        <w:rFonts w:ascii="Neo Sans Std" w:hAnsi="Neo Sans Std" w:cs="Arial"/>
        <w:noProof/>
        <w:lang w:eastAsia="en-GB"/>
      </w:rPr>
      <w:t>SI incorpor</w:t>
    </w:r>
    <w:r w:rsidR="00A6391D">
      <w:rPr>
        <w:rFonts w:ascii="Neo Sans Std" w:hAnsi="Neo Sans Std" w:cs="Arial"/>
        <w:noProof/>
        <w:lang w:eastAsia="en-GB"/>
      </w:rPr>
      <w:t>a</w:t>
    </w:r>
    <w:r w:rsidR="00A6391D" w:rsidRPr="00EE1E3D">
      <w:rPr>
        <w:rFonts w:ascii="Neo Sans Std" w:hAnsi="Neo Sans Std" w:cs="Arial"/>
        <w:noProof/>
        <w:lang w:eastAsia="en-GB"/>
      </w:rPr>
      <w:t>ted by Royal Charter</w:t>
    </w:r>
    <w:r w:rsidR="00FA466B">
      <w:rPr>
        <w:rFonts w:ascii="Neo Sans Std" w:hAnsi="Neo Sans Std" w:cs="Arial"/>
        <w:noProof/>
        <w:lang w:eastAsia="en-GB"/>
      </w:rPr>
      <w:t xml:space="preserve"> </w:t>
    </w:r>
    <w:r w:rsidR="00FA466B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>reg.no. RC000879</w:t>
    </w:r>
    <w:r w:rsidR="00A6391D" w:rsidRPr="00FA466B">
      <w:rPr>
        <w:rFonts w:ascii="Arial" w:hAnsi="Arial" w:cs="Arial"/>
        <w:noProof/>
        <w:color w:val="7F7F7F" w:themeColor="text1" w:themeTint="80"/>
        <w:sz w:val="16"/>
        <w:szCs w:val="16"/>
        <w:lang w:eastAsia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9DC56" w14:textId="77777777" w:rsidR="00A01D31" w:rsidRDefault="00A01D31" w:rsidP="00C15B40">
      <w:r>
        <w:separator/>
      </w:r>
    </w:p>
  </w:footnote>
  <w:footnote w:type="continuationSeparator" w:id="0">
    <w:p w14:paraId="5BA2A1AD" w14:textId="77777777" w:rsidR="00A01D31" w:rsidRDefault="00A01D31" w:rsidP="00C1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D9343" w14:textId="77777777" w:rsidR="00FA466B" w:rsidRDefault="00FA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83376" w14:textId="77777777" w:rsidR="00A6391D" w:rsidRDefault="00A6391D">
    <w:pPr>
      <w:pStyle w:val="Header"/>
    </w:pPr>
  </w:p>
  <w:p w14:paraId="4BCAFE79" w14:textId="77777777" w:rsidR="00A6391D" w:rsidRDefault="00A63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B10C" w14:textId="77777777" w:rsidR="00A6391D" w:rsidRDefault="001D3A33" w:rsidP="00A87C0A">
    <w:pPr>
      <w:tabs>
        <w:tab w:val="left" w:pos="10632"/>
      </w:tabs>
      <w:ind w:left="567" w:right="260"/>
      <w:rPr>
        <w:rFonts w:ascii="Neo Sans Std" w:hAnsi="Neo Sans Std"/>
        <w:szCs w:val="22"/>
      </w:rPr>
    </w:pPr>
    <w:r>
      <w:rPr>
        <w:rFonts w:ascii="Neo Sans Std" w:hAnsi="Neo Sans Std"/>
        <w:noProof/>
        <w:szCs w:val="22"/>
      </w:rPr>
      <w:drawing>
        <wp:anchor distT="0" distB="0" distL="114300" distR="114300" simplePos="0" relativeHeight="251658752" behindDoc="1" locked="0" layoutInCell="1" allowOverlap="1" wp14:anchorId="3167E1CC" wp14:editId="794E0BCC">
          <wp:simplePos x="0" y="0"/>
          <wp:positionH relativeFrom="column">
            <wp:posOffset>3619500</wp:posOffset>
          </wp:positionH>
          <wp:positionV relativeFrom="paragraph">
            <wp:posOffset>80645</wp:posOffset>
          </wp:positionV>
          <wp:extent cx="2364740" cy="1003935"/>
          <wp:effectExtent l="19050" t="0" r="0" b="0"/>
          <wp:wrapTight wrapText="bothSides">
            <wp:wrapPolygon edited="0">
              <wp:start x="-174" y="0"/>
              <wp:lineTo x="-174" y="21313"/>
              <wp:lineTo x="21577" y="21313"/>
              <wp:lineTo x="21577" y="0"/>
              <wp:lineTo x="-174" y="0"/>
            </wp:wrapPolygon>
          </wp:wrapTight>
          <wp:docPr id="5" name="Picture 1" descr="CSTI_logo_Cubed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TI_logo_Cubed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474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91D">
      <w:rPr>
        <w:rFonts w:ascii="Neo Sans Std" w:hAnsi="Neo Sans Std"/>
        <w:szCs w:val="22"/>
      </w:rPr>
      <w:tab/>
    </w:r>
  </w:p>
  <w:p w14:paraId="17BB003D" w14:textId="77777777" w:rsidR="008D172E" w:rsidRDefault="008D172E" w:rsidP="004D5EF6">
    <w:pPr>
      <w:ind w:left="0"/>
      <w:rPr>
        <w:rFonts w:ascii="Neo Sans Std" w:hAnsi="Neo Sans Std"/>
        <w:szCs w:val="22"/>
      </w:rPr>
    </w:pPr>
  </w:p>
  <w:p w14:paraId="7C04E6B1" w14:textId="77777777" w:rsidR="00A6391D" w:rsidRDefault="00A6391D" w:rsidP="00A6391D">
    <w:pPr>
      <w:tabs>
        <w:tab w:val="left" w:pos="6917"/>
      </w:tabs>
      <w:ind w:left="0"/>
      <w:rPr>
        <w:rFonts w:ascii="Neo Sans Std" w:hAnsi="Neo Sans Std"/>
        <w:szCs w:val="22"/>
      </w:rPr>
    </w:pPr>
  </w:p>
  <w:p w14:paraId="63131FE4" w14:textId="77777777" w:rsidR="00A87C0A" w:rsidRDefault="00A6391D" w:rsidP="002B0C54">
    <w:pPr>
      <w:tabs>
        <w:tab w:val="left" w:pos="6917"/>
      </w:tabs>
      <w:ind w:left="0"/>
      <w:rPr>
        <w:szCs w:val="22"/>
      </w:rPr>
    </w:pPr>
    <w:r>
      <w:rPr>
        <w:rFonts w:ascii="Neo Sans Std" w:hAnsi="Neo Sans Std"/>
        <w:szCs w:val="22"/>
      </w:rPr>
      <w:tab/>
    </w:r>
    <w:r w:rsidRPr="002812B0">
      <w:rPr>
        <w:rFonts w:ascii="Neo Sans Std Medium" w:hAnsi="Neo Sans Std Medium"/>
        <w:color w:val="4C2B5E"/>
        <w:sz w:val="24"/>
        <w:szCs w:val="24"/>
      </w:rPr>
      <w:tab/>
    </w:r>
    <w:r>
      <w:rPr>
        <w:rFonts w:ascii="Neo Sans Std Medium" w:hAnsi="Neo Sans Std Medium"/>
        <w:color w:val="4C2B5E"/>
        <w:sz w:val="24"/>
        <w:szCs w:val="24"/>
      </w:rPr>
      <w:tab/>
    </w:r>
    <w:r w:rsidR="0042687B">
      <w:rPr>
        <w:rFonts w:ascii="Neo Sans Std Medium" w:hAnsi="Neo Sans Std Medium"/>
        <w:color w:val="4C2B5E"/>
        <w:sz w:val="24"/>
        <w:szCs w:val="24"/>
      </w:rPr>
      <w:tab/>
    </w:r>
    <w:r w:rsidR="0042687B">
      <w:rPr>
        <w:rFonts w:ascii="Neo Sans Std Medium" w:hAnsi="Neo Sans Std Medium"/>
        <w:color w:val="4C2B5E"/>
        <w:sz w:val="24"/>
        <w:szCs w:val="24"/>
      </w:rPr>
      <w:tab/>
    </w:r>
    <w:r w:rsidR="00A87C0A">
      <w:rPr>
        <w:szCs w:val="22"/>
      </w:rPr>
      <w:t xml:space="preserve">   </w:t>
    </w:r>
  </w:p>
  <w:p w14:paraId="6FBB56F3" w14:textId="77777777" w:rsidR="007E7405" w:rsidRPr="00A87C0A" w:rsidRDefault="00AF12CA" w:rsidP="00A87C0A">
    <w:pPr>
      <w:tabs>
        <w:tab w:val="left" w:pos="9923"/>
      </w:tabs>
      <w:ind w:left="0" w:right="543"/>
      <w:rPr>
        <w:szCs w:val="22"/>
      </w:rPr>
    </w:pPr>
    <w:r>
      <w:rPr>
        <w:szCs w:val="22"/>
      </w:rPr>
      <w:pict w14:anchorId="42279642">
        <v:rect id="_x0000_i1025" style="width:475.95pt;height:1.45pt" o:hrpct="990" o:hralign="right" o:hrstd="t" o:hrnoshade="t" o:hr="t" fillcolor="#a5027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973F7"/>
    <w:multiLevelType w:val="hybridMultilevel"/>
    <w:tmpl w:val="1C4039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CAD2F9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31"/>
    <w:rsid w:val="0005251E"/>
    <w:rsid w:val="000627D0"/>
    <w:rsid w:val="00093615"/>
    <w:rsid w:val="000C7F67"/>
    <w:rsid w:val="00134BE0"/>
    <w:rsid w:val="00141A88"/>
    <w:rsid w:val="00145029"/>
    <w:rsid w:val="001863E8"/>
    <w:rsid w:val="001A5935"/>
    <w:rsid w:val="001C75B0"/>
    <w:rsid w:val="001D3A33"/>
    <w:rsid w:val="00212027"/>
    <w:rsid w:val="002812B0"/>
    <w:rsid w:val="00297C62"/>
    <w:rsid w:val="002A12D6"/>
    <w:rsid w:val="002A6E4D"/>
    <w:rsid w:val="002B0C54"/>
    <w:rsid w:val="002C2628"/>
    <w:rsid w:val="002C7262"/>
    <w:rsid w:val="002D2A5E"/>
    <w:rsid w:val="00352B3E"/>
    <w:rsid w:val="00375F20"/>
    <w:rsid w:val="00393160"/>
    <w:rsid w:val="003E70AD"/>
    <w:rsid w:val="003F5DCB"/>
    <w:rsid w:val="00410B73"/>
    <w:rsid w:val="0042687B"/>
    <w:rsid w:val="00432105"/>
    <w:rsid w:val="00497040"/>
    <w:rsid w:val="004B0769"/>
    <w:rsid w:val="004D5EF6"/>
    <w:rsid w:val="004E1E00"/>
    <w:rsid w:val="004E6FF8"/>
    <w:rsid w:val="00523CEA"/>
    <w:rsid w:val="0055675A"/>
    <w:rsid w:val="00556C57"/>
    <w:rsid w:val="00566617"/>
    <w:rsid w:val="005B29BF"/>
    <w:rsid w:val="005B2D76"/>
    <w:rsid w:val="005F5AC0"/>
    <w:rsid w:val="006000C9"/>
    <w:rsid w:val="00644570"/>
    <w:rsid w:val="0069346F"/>
    <w:rsid w:val="006C6751"/>
    <w:rsid w:val="00787FA5"/>
    <w:rsid w:val="007E7405"/>
    <w:rsid w:val="0084035B"/>
    <w:rsid w:val="008611D8"/>
    <w:rsid w:val="00866B96"/>
    <w:rsid w:val="008852DD"/>
    <w:rsid w:val="00895A38"/>
    <w:rsid w:val="008C3D5A"/>
    <w:rsid w:val="008D172E"/>
    <w:rsid w:val="008D6243"/>
    <w:rsid w:val="00927443"/>
    <w:rsid w:val="00955D46"/>
    <w:rsid w:val="009643BC"/>
    <w:rsid w:val="00965B7E"/>
    <w:rsid w:val="00A01D31"/>
    <w:rsid w:val="00A06CFE"/>
    <w:rsid w:val="00A30FF6"/>
    <w:rsid w:val="00A6391D"/>
    <w:rsid w:val="00A662D4"/>
    <w:rsid w:val="00A87C0A"/>
    <w:rsid w:val="00A90EC9"/>
    <w:rsid w:val="00A90FA8"/>
    <w:rsid w:val="00A91077"/>
    <w:rsid w:val="00AA292B"/>
    <w:rsid w:val="00AC053A"/>
    <w:rsid w:val="00AF71BB"/>
    <w:rsid w:val="00B005D6"/>
    <w:rsid w:val="00B3441B"/>
    <w:rsid w:val="00B5603F"/>
    <w:rsid w:val="00B712A1"/>
    <w:rsid w:val="00B829D9"/>
    <w:rsid w:val="00C00FF0"/>
    <w:rsid w:val="00C15B40"/>
    <w:rsid w:val="00C63C12"/>
    <w:rsid w:val="00C660A7"/>
    <w:rsid w:val="00CE1E4C"/>
    <w:rsid w:val="00D26765"/>
    <w:rsid w:val="00D9633F"/>
    <w:rsid w:val="00D97D8C"/>
    <w:rsid w:val="00DC436D"/>
    <w:rsid w:val="00DD1745"/>
    <w:rsid w:val="00DF6AA4"/>
    <w:rsid w:val="00E424C4"/>
    <w:rsid w:val="00EB09BD"/>
    <w:rsid w:val="00EB1573"/>
    <w:rsid w:val="00EE1E3D"/>
    <w:rsid w:val="00EE27B1"/>
    <w:rsid w:val="00FA466B"/>
    <w:rsid w:val="00FA71A4"/>
    <w:rsid w:val="00FB75FA"/>
    <w:rsid w:val="00FE0AB3"/>
    <w:rsid w:val="00FE1FBA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A261E0C"/>
  <w15:docId w15:val="{81A56C55-F173-4B3F-A479-B536D933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F6"/>
    <w:pPr>
      <w:ind w:left="851" w:right="851"/>
    </w:pPr>
    <w:rPr>
      <w:rFonts w:ascii="Humnst777 BT" w:eastAsia="Times New Roman" w:hAnsi="Humnst777 BT"/>
      <w:sz w:val="22"/>
    </w:rPr>
  </w:style>
  <w:style w:type="paragraph" w:styleId="Heading1">
    <w:name w:val="heading 1"/>
    <w:basedOn w:val="Normal"/>
    <w:next w:val="Normal"/>
    <w:link w:val="Heading1Char"/>
    <w:qFormat/>
    <w:rsid w:val="004D5EF6"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5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5B40"/>
  </w:style>
  <w:style w:type="paragraph" w:styleId="Footer">
    <w:name w:val="footer"/>
    <w:basedOn w:val="Normal"/>
    <w:link w:val="FooterChar"/>
    <w:uiPriority w:val="99"/>
    <w:semiHidden/>
    <w:unhideWhenUsed/>
    <w:rsid w:val="00C15B40"/>
    <w:pPr>
      <w:tabs>
        <w:tab w:val="center" w:pos="4513"/>
        <w:tab w:val="right" w:pos="9026"/>
      </w:tabs>
    </w:pPr>
    <w:rPr>
      <w:rFonts w:ascii="Calibri" w:eastAsia="Calibri" w:hAnsi="Calibr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5B40"/>
  </w:style>
  <w:style w:type="paragraph" w:styleId="BalloonText">
    <w:name w:val="Balloon Text"/>
    <w:basedOn w:val="Normal"/>
    <w:link w:val="BalloonTextChar"/>
    <w:uiPriority w:val="99"/>
    <w:semiHidden/>
    <w:unhideWhenUsed/>
    <w:rsid w:val="00C15B40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4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EF6"/>
    <w:rPr>
      <w:rFonts w:ascii="Humnst777 BT" w:eastAsia="Times New Roman" w:hAnsi="Humnst777 BT" w:cs="Times New Roman"/>
      <w:sz w:val="40"/>
      <w:szCs w:val="20"/>
      <w:lang w:eastAsia="en-GB"/>
    </w:rPr>
  </w:style>
  <w:style w:type="paragraph" w:styleId="NoSpacing">
    <w:name w:val="No Spacing"/>
    <w:uiPriority w:val="1"/>
    <w:qFormat/>
    <w:rsid w:val="003F5DCB"/>
    <w:rPr>
      <w:rFonts w:ascii="Humnst777 BT" w:eastAsia="Times New Roman" w:hAnsi="Humnst777 BT"/>
      <w:sz w:val="22"/>
    </w:rPr>
  </w:style>
  <w:style w:type="character" w:styleId="Hyperlink">
    <w:name w:val="Hyperlink"/>
    <w:basedOn w:val="DefaultParagraphFont"/>
    <w:uiPriority w:val="99"/>
    <w:unhideWhenUsed/>
    <w:rsid w:val="0064457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570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NormalWeb">
    <w:name w:val="Normal (Web)"/>
    <w:basedOn w:val="Normal"/>
    <w:rsid w:val="00644570"/>
    <w:pPr>
      <w:spacing w:before="100" w:after="100"/>
      <w:ind w:left="0" w:right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29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1573"/>
    <w:pPr>
      <w:ind w:left="0" w:right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73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87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FA5"/>
    <w:rPr>
      <w:rFonts w:ascii="Humnst777 BT" w:eastAsia="Times New Roman" w:hAnsi="Humnst777 B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FA5"/>
    <w:rPr>
      <w:rFonts w:ascii="Humnst777 BT" w:eastAsia="Times New Roman" w:hAnsi="Humnst777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E3BF-A5F5-4EAE-9745-3952A280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Trading Standards Institute</Company>
  <LinksUpToDate>false</LinksUpToDate>
  <CharactersWithSpaces>3032</CharactersWithSpaces>
  <SharedDoc>false</SharedDoc>
  <HLinks>
    <vt:vector size="24" baseType="variant">
      <vt:variant>
        <vt:i4>5636199</vt:i4>
      </vt:variant>
      <vt:variant>
        <vt:i4>6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!/tsi_uk</vt:lpwstr>
      </vt:variant>
      <vt:variant>
        <vt:i4>2818107</vt:i4>
      </vt:variant>
      <vt:variant>
        <vt:i4>3</vt:i4>
      </vt:variant>
      <vt:variant>
        <vt:i4>0</vt:i4>
      </vt:variant>
      <vt:variant>
        <vt:i4>5</vt:i4>
      </vt:variant>
      <vt:variant>
        <vt:lpwstr>http://www.tradingstandards.gov.uk/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mailto:pressoffice@tsi.org.uk</vt:lpwstr>
      </vt:variant>
      <vt:variant>
        <vt:lpwstr/>
      </vt:variant>
      <vt:variant>
        <vt:i4>5636199</vt:i4>
      </vt:variant>
      <vt:variant>
        <vt:i4>3789</vt:i4>
      </vt:variant>
      <vt:variant>
        <vt:i4>1025</vt:i4>
      </vt:variant>
      <vt:variant>
        <vt:i4>4</vt:i4>
      </vt:variant>
      <vt:variant>
        <vt:lpwstr>http://twitter.com/</vt:lpwstr>
      </vt:variant>
      <vt:variant>
        <vt:lpwstr>!/tsi_uk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Richards</dc:creator>
  <cp:lastModifiedBy>Ben Richards</cp:lastModifiedBy>
  <cp:revision>3</cp:revision>
  <cp:lastPrinted>2015-05-05T10:39:00Z</cp:lastPrinted>
  <dcterms:created xsi:type="dcterms:W3CDTF">2018-01-24T12:04:00Z</dcterms:created>
  <dcterms:modified xsi:type="dcterms:W3CDTF">2018-02-13T15:01:00Z</dcterms:modified>
</cp:coreProperties>
</file>