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77" w:rsidRDefault="00941ED2" w:rsidP="00D172B8">
      <w:pPr>
        <w:rPr>
          <w:b/>
        </w:rPr>
      </w:pPr>
      <w:r>
        <w:rPr>
          <w:b/>
          <w:noProof/>
          <w:lang w:eastAsia="en-GB"/>
        </w:rPr>
        <w:drawing>
          <wp:anchor distT="0" distB="0" distL="114300" distR="114300" simplePos="0" relativeHeight="251657728" behindDoc="0" locked="0" layoutInCell="1" allowOverlap="1">
            <wp:simplePos x="0" y="0"/>
            <wp:positionH relativeFrom="column">
              <wp:posOffset>-56515</wp:posOffset>
            </wp:positionH>
            <wp:positionV relativeFrom="paragraph">
              <wp:posOffset>-451485</wp:posOffset>
            </wp:positionV>
            <wp:extent cx="2021840" cy="563245"/>
            <wp:effectExtent l="19050" t="0" r="0" b="0"/>
            <wp:wrapNone/>
            <wp:docPr id="2" name="Picture 2" descr="qual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alifications"/>
                    <pic:cNvPicPr>
                      <a:picLocks noChangeAspect="1" noChangeArrowheads="1"/>
                    </pic:cNvPicPr>
                  </pic:nvPicPr>
                  <pic:blipFill>
                    <a:blip r:embed="rId6" cstate="print"/>
                    <a:srcRect/>
                    <a:stretch>
                      <a:fillRect/>
                    </a:stretch>
                  </pic:blipFill>
                  <pic:spPr bwMode="auto">
                    <a:xfrm>
                      <a:off x="0" y="0"/>
                      <a:ext cx="2021840" cy="563245"/>
                    </a:xfrm>
                    <a:prstGeom prst="rect">
                      <a:avLst/>
                    </a:prstGeom>
                    <a:noFill/>
                    <a:ln w="9525">
                      <a:noFill/>
                      <a:miter lim="800000"/>
                      <a:headEnd/>
                      <a:tailEnd/>
                    </a:ln>
                  </pic:spPr>
                </pic:pic>
              </a:graphicData>
            </a:graphic>
          </wp:anchor>
        </w:drawing>
      </w:r>
    </w:p>
    <w:p w:rsidR="00D172B8" w:rsidRPr="005214CD" w:rsidRDefault="00D172B8" w:rsidP="00D172B8">
      <w:pPr>
        <w:rPr>
          <w:rFonts w:ascii="Humnst777 BT" w:hAnsi="Humnst777 BT"/>
          <w:b/>
        </w:rPr>
      </w:pPr>
    </w:p>
    <w:tbl>
      <w:tblPr>
        <w:tblpPr w:leftFromText="180" w:rightFromText="180" w:vertAnchor="text" w:horzAnchor="margin" w:tblpXSpec="center" w:tblpY="127"/>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5"/>
        <w:gridCol w:w="4961"/>
      </w:tblGrid>
      <w:tr w:rsidR="00D172B8" w:rsidRPr="005214CD" w:rsidTr="00D172B8">
        <w:tc>
          <w:tcPr>
            <w:tcW w:w="4955" w:type="dxa"/>
          </w:tcPr>
          <w:p w:rsidR="00D172B8" w:rsidRPr="005214CD" w:rsidRDefault="00D172B8" w:rsidP="00D172B8">
            <w:pPr>
              <w:pStyle w:val="Heading1"/>
              <w:rPr>
                <w:rFonts w:ascii="Humnst777 BT" w:hAnsi="Humnst777 BT" w:cs="Arial"/>
                <w:sz w:val="26"/>
                <w:szCs w:val="26"/>
                <w:u w:val="none"/>
              </w:rPr>
            </w:pPr>
            <w:r w:rsidRPr="005214CD">
              <w:rPr>
                <w:rFonts w:ascii="Humnst777 BT" w:hAnsi="Humnst777 BT" w:cs="Arial"/>
                <w:sz w:val="26"/>
                <w:szCs w:val="26"/>
                <w:u w:val="none"/>
              </w:rPr>
              <w:t xml:space="preserve">TSQF INTERNAL VERIFICATION </w:t>
            </w:r>
          </w:p>
          <w:p w:rsidR="00D172B8" w:rsidRPr="005214CD" w:rsidRDefault="00D172B8" w:rsidP="00D172B8">
            <w:pPr>
              <w:pStyle w:val="Heading1"/>
              <w:rPr>
                <w:rFonts w:ascii="Humnst777 BT" w:hAnsi="Humnst777 BT" w:cs="Arial"/>
                <w:sz w:val="26"/>
                <w:szCs w:val="26"/>
                <w:u w:val="none"/>
              </w:rPr>
            </w:pPr>
            <w:r w:rsidRPr="005214CD">
              <w:rPr>
                <w:rFonts w:ascii="Humnst777 BT" w:hAnsi="Humnst777 BT" w:cs="Arial"/>
                <w:sz w:val="26"/>
                <w:szCs w:val="26"/>
                <w:u w:val="none"/>
              </w:rPr>
              <w:t>DOCUMENTATION</w:t>
            </w:r>
          </w:p>
          <w:p w:rsidR="00834D77" w:rsidRPr="005214CD" w:rsidRDefault="00834D77" w:rsidP="00834D77">
            <w:pPr>
              <w:rPr>
                <w:rFonts w:ascii="Humnst777 BT" w:hAnsi="Humnst777 BT"/>
              </w:rPr>
            </w:pPr>
          </w:p>
        </w:tc>
        <w:tc>
          <w:tcPr>
            <w:tcW w:w="4961" w:type="dxa"/>
            <w:vAlign w:val="center"/>
          </w:tcPr>
          <w:p w:rsidR="00D172B8" w:rsidRPr="005214CD" w:rsidRDefault="00D172B8" w:rsidP="00D172B8">
            <w:pPr>
              <w:pStyle w:val="Heading1"/>
              <w:jc w:val="center"/>
              <w:rPr>
                <w:rFonts w:ascii="Humnst777 BT" w:hAnsi="Humnst777 BT" w:cs="Arial"/>
                <w:sz w:val="34"/>
                <w:szCs w:val="34"/>
                <w:u w:val="none"/>
              </w:rPr>
            </w:pPr>
            <w:r w:rsidRPr="005214CD">
              <w:rPr>
                <w:rFonts w:ascii="Humnst777 BT" w:hAnsi="Humnst777 BT" w:cs="Arial"/>
                <w:sz w:val="34"/>
                <w:szCs w:val="34"/>
                <w:u w:val="none"/>
              </w:rPr>
              <w:t>GUIDANCE NOTES</w:t>
            </w:r>
          </w:p>
        </w:tc>
      </w:tr>
    </w:tbl>
    <w:p w:rsidR="00D172B8" w:rsidRPr="005214CD" w:rsidRDefault="00D172B8" w:rsidP="00D172B8">
      <w:pPr>
        <w:rPr>
          <w:rFonts w:ascii="Humnst777 BT" w:hAnsi="Humnst777 BT"/>
        </w:rPr>
      </w:pPr>
    </w:p>
    <w:p w:rsidR="00D172B8" w:rsidRPr="005214CD" w:rsidRDefault="00D172B8" w:rsidP="00D172B8">
      <w:pPr>
        <w:rPr>
          <w:rFonts w:ascii="Humnst777 BT" w:hAnsi="Humnst777 BT"/>
        </w:rPr>
      </w:pPr>
    </w:p>
    <w:p w:rsidR="005D7743" w:rsidRPr="005214CD" w:rsidRDefault="005D7743" w:rsidP="005214CD">
      <w:pPr>
        <w:tabs>
          <w:tab w:val="left" w:pos="4204"/>
        </w:tabs>
        <w:rPr>
          <w:rFonts w:ascii="Humnst777 BT" w:hAnsi="Humnst777 BT" w:cs="Arial"/>
          <w:sz w:val="22"/>
          <w:szCs w:val="22"/>
        </w:rPr>
      </w:pPr>
      <w:r w:rsidRPr="005214CD">
        <w:rPr>
          <w:rFonts w:ascii="Humnst777 BT" w:hAnsi="Humnst777 BT" w:cs="Arial"/>
          <w:b/>
          <w:sz w:val="22"/>
          <w:szCs w:val="22"/>
          <w:u w:val="single"/>
        </w:rPr>
        <w:t>IV 01 – Sampling Report Form</w:t>
      </w:r>
    </w:p>
    <w:p w:rsidR="005D7743" w:rsidRPr="005214CD" w:rsidRDefault="005D7743" w:rsidP="005214CD">
      <w:pPr>
        <w:tabs>
          <w:tab w:val="left" w:pos="4204"/>
        </w:tabs>
        <w:rPr>
          <w:rFonts w:ascii="Humnst777 BT" w:hAnsi="Humnst777 BT" w:cs="Arial"/>
          <w:sz w:val="22"/>
          <w:szCs w:val="22"/>
        </w:rPr>
      </w:pPr>
    </w:p>
    <w:p w:rsidR="005D7743" w:rsidRPr="005214CD" w:rsidRDefault="005D7743" w:rsidP="005214CD">
      <w:pPr>
        <w:tabs>
          <w:tab w:val="left" w:pos="4204"/>
        </w:tabs>
        <w:rPr>
          <w:rFonts w:ascii="Humnst777 BT" w:hAnsi="Humnst777 BT" w:cs="Arial"/>
          <w:sz w:val="22"/>
          <w:szCs w:val="22"/>
        </w:rPr>
      </w:pPr>
      <w:r w:rsidRPr="005214CD">
        <w:rPr>
          <w:rFonts w:ascii="Humnst777 BT" w:hAnsi="Humnst777 BT" w:cs="Arial"/>
          <w:sz w:val="22"/>
          <w:szCs w:val="22"/>
        </w:rPr>
        <w:t>This document is completed every time t</w:t>
      </w:r>
      <w:r w:rsidR="00834D77" w:rsidRPr="005214CD">
        <w:rPr>
          <w:rFonts w:ascii="Humnst777 BT" w:hAnsi="Humnst777 BT" w:cs="Arial"/>
          <w:sz w:val="22"/>
          <w:szCs w:val="22"/>
        </w:rPr>
        <w:t>he internal verifier conducts s</w:t>
      </w:r>
      <w:r w:rsidRPr="005214CD">
        <w:rPr>
          <w:rFonts w:ascii="Humnst777 BT" w:hAnsi="Humnst777 BT" w:cs="Arial"/>
          <w:sz w:val="22"/>
          <w:szCs w:val="22"/>
        </w:rPr>
        <w:t>a</w:t>
      </w:r>
      <w:r w:rsidR="00834D77" w:rsidRPr="005214CD">
        <w:rPr>
          <w:rFonts w:ascii="Humnst777 BT" w:hAnsi="Humnst777 BT" w:cs="Arial"/>
          <w:sz w:val="22"/>
          <w:szCs w:val="22"/>
        </w:rPr>
        <w:t>m</w:t>
      </w:r>
      <w:r w:rsidRPr="005214CD">
        <w:rPr>
          <w:rFonts w:ascii="Humnst777 BT" w:hAnsi="Humnst777 BT" w:cs="Arial"/>
          <w:sz w:val="22"/>
          <w:szCs w:val="22"/>
        </w:rPr>
        <w:t>pling (verification of assessor documentation &amp;</w:t>
      </w:r>
      <w:r w:rsidR="00834D77" w:rsidRPr="005214CD">
        <w:rPr>
          <w:rFonts w:ascii="Humnst777 BT" w:hAnsi="Humnst777 BT" w:cs="Arial"/>
          <w:sz w:val="22"/>
          <w:szCs w:val="22"/>
        </w:rPr>
        <w:t xml:space="preserve"> candidate portfolio).  When a</w:t>
      </w:r>
      <w:r w:rsidRPr="005214CD">
        <w:rPr>
          <w:rFonts w:ascii="Humnst777 BT" w:hAnsi="Humnst777 BT" w:cs="Arial"/>
          <w:sz w:val="22"/>
          <w:szCs w:val="22"/>
        </w:rPr>
        <w:t xml:space="preserve"> Basic Sample (BS) is show on the Sampling Plan (IV 03), there should be a Sampling Report Form to confirm that it has taken place.</w:t>
      </w:r>
    </w:p>
    <w:p w:rsidR="005D7743" w:rsidRPr="005214CD" w:rsidRDefault="005D7743" w:rsidP="005214CD">
      <w:pPr>
        <w:tabs>
          <w:tab w:val="left" w:pos="4204"/>
        </w:tabs>
        <w:rPr>
          <w:rFonts w:ascii="Humnst777 BT" w:hAnsi="Humnst777 BT" w:cs="Arial"/>
          <w:sz w:val="22"/>
          <w:szCs w:val="22"/>
        </w:rPr>
      </w:pPr>
    </w:p>
    <w:p w:rsidR="005D7743" w:rsidRPr="005214CD" w:rsidRDefault="005D7743" w:rsidP="005214CD">
      <w:pPr>
        <w:tabs>
          <w:tab w:val="left" w:pos="4204"/>
        </w:tabs>
        <w:rPr>
          <w:rFonts w:ascii="Humnst777 BT" w:hAnsi="Humnst777 BT" w:cs="Arial"/>
          <w:sz w:val="22"/>
          <w:szCs w:val="22"/>
        </w:rPr>
      </w:pPr>
      <w:r w:rsidRPr="005214CD">
        <w:rPr>
          <w:rFonts w:ascii="Humnst777 BT" w:hAnsi="Humnst777 BT" w:cs="Arial"/>
          <w:sz w:val="22"/>
          <w:szCs w:val="22"/>
        </w:rPr>
        <w:t>An EV would expect to see at least 5 Sampling Report Forms for a Core Skills Portfolio, and at least 3 Sampling Report Forms for the Skills Specific Portfolios.</w:t>
      </w:r>
    </w:p>
    <w:p w:rsidR="005D7743" w:rsidRPr="005214CD" w:rsidRDefault="005D7743" w:rsidP="005214CD">
      <w:pPr>
        <w:tabs>
          <w:tab w:val="left" w:pos="4204"/>
        </w:tabs>
        <w:rPr>
          <w:rFonts w:ascii="Humnst777 BT" w:hAnsi="Humnst777 BT" w:cs="Arial"/>
          <w:sz w:val="22"/>
          <w:szCs w:val="22"/>
        </w:rPr>
      </w:pPr>
    </w:p>
    <w:p w:rsidR="005D7743" w:rsidRPr="005214CD" w:rsidRDefault="005D7743" w:rsidP="005214CD">
      <w:pPr>
        <w:tabs>
          <w:tab w:val="left" w:pos="4204"/>
        </w:tabs>
        <w:rPr>
          <w:rFonts w:ascii="Humnst777 BT" w:hAnsi="Humnst777 BT" w:cs="Arial"/>
          <w:sz w:val="22"/>
          <w:szCs w:val="22"/>
        </w:rPr>
      </w:pPr>
      <w:r w:rsidRPr="005214CD">
        <w:rPr>
          <w:rFonts w:ascii="Humnst777 BT" w:hAnsi="Humnst777 BT" w:cs="Arial"/>
          <w:b/>
          <w:sz w:val="22"/>
          <w:szCs w:val="22"/>
          <w:u w:val="single"/>
        </w:rPr>
        <w:t>Monitoring Assessor Performance</w:t>
      </w:r>
      <w:r w:rsidR="002107B5" w:rsidRPr="005214CD">
        <w:rPr>
          <w:rFonts w:ascii="Humnst777 BT" w:hAnsi="Humnst777 BT" w:cs="Arial"/>
          <w:b/>
          <w:sz w:val="22"/>
          <w:szCs w:val="22"/>
          <w:u w:val="single"/>
        </w:rPr>
        <w:t xml:space="preserve"> </w:t>
      </w:r>
      <w:r w:rsidR="002107B5" w:rsidRPr="005214CD">
        <w:rPr>
          <w:rFonts w:ascii="Humnst777 BT" w:hAnsi="Humnst777 BT" w:cs="Arial"/>
          <w:b/>
          <w:i/>
          <w:sz w:val="20"/>
          <w:szCs w:val="20"/>
          <w:u w:val="single"/>
        </w:rPr>
        <w:t>(IV 02, 02a, 02b)</w:t>
      </w:r>
    </w:p>
    <w:p w:rsidR="005D7743" w:rsidRPr="005214CD" w:rsidRDefault="005D7743" w:rsidP="005214CD">
      <w:pPr>
        <w:tabs>
          <w:tab w:val="left" w:pos="4204"/>
        </w:tabs>
        <w:rPr>
          <w:rFonts w:ascii="Humnst777 BT" w:hAnsi="Humnst777 BT" w:cs="Arial"/>
          <w:sz w:val="22"/>
          <w:szCs w:val="22"/>
        </w:rPr>
      </w:pPr>
    </w:p>
    <w:p w:rsidR="00B41951" w:rsidRPr="005214CD" w:rsidRDefault="00CE7EB5" w:rsidP="005214CD">
      <w:pPr>
        <w:tabs>
          <w:tab w:val="left" w:pos="4204"/>
        </w:tabs>
        <w:rPr>
          <w:rFonts w:ascii="Humnst777 BT" w:hAnsi="Humnst777 BT" w:cs="Arial"/>
          <w:sz w:val="22"/>
          <w:szCs w:val="22"/>
        </w:rPr>
      </w:pPr>
      <w:r w:rsidRPr="005214CD">
        <w:rPr>
          <w:rFonts w:ascii="Humnst777 BT" w:hAnsi="Humnst777 BT" w:cs="Arial"/>
          <w:sz w:val="22"/>
          <w:szCs w:val="22"/>
        </w:rPr>
        <w:t xml:space="preserve">Internal Verifiers need to Monitor Assessor </w:t>
      </w:r>
      <w:r w:rsidR="00B41951" w:rsidRPr="005214CD">
        <w:rPr>
          <w:rFonts w:ascii="Humnst777 BT" w:hAnsi="Humnst777 BT" w:cs="Arial"/>
          <w:sz w:val="22"/>
          <w:szCs w:val="22"/>
        </w:rPr>
        <w:t>Performance</w:t>
      </w:r>
      <w:r w:rsidRPr="005214CD">
        <w:rPr>
          <w:rFonts w:ascii="Humnst777 BT" w:hAnsi="Humnst777 BT" w:cs="Arial"/>
          <w:sz w:val="22"/>
          <w:szCs w:val="22"/>
        </w:rPr>
        <w:t xml:space="preserve"> at least twice a year.  If you are carrying out your sampling on a regular basis and covering</w:t>
      </w:r>
      <w:r w:rsidR="00B41951" w:rsidRPr="005214CD">
        <w:rPr>
          <w:rFonts w:ascii="Humnst777 BT" w:hAnsi="Humnst777 BT" w:cs="Arial"/>
          <w:sz w:val="22"/>
          <w:szCs w:val="22"/>
        </w:rPr>
        <w:t xml:space="preserve"> everything you should, you will be monitoring your assessor performance regularly as you will be reviewing how they have made their assessment decisions (what evidence have they used to form their judgement), ad will be reviewing the quality of the feedback being given to the candidate.  To support these methods, you should carry out either a candidate interview, assessor interview or assessor observation.  An EV does not expect to see interviews and / or observations for every portfolio submitted.</w:t>
      </w:r>
    </w:p>
    <w:p w:rsidR="00B41951" w:rsidRPr="005214CD" w:rsidRDefault="00B41951" w:rsidP="005214CD">
      <w:pPr>
        <w:tabs>
          <w:tab w:val="left" w:pos="4204"/>
        </w:tabs>
        <w:rPr>
          <w:rFonts w:ascii="Humnst777 BT" w:hAnsi="Humnst777 BT" w:cs="Arial"/>
          <w:sz w:val="22"/>
          <w:szCs w:val="22"/>
        </w:rPr>
      </w:pPr>
    </w:p>
    <w:p w:rsidR="00B41951" w:rsidRPr="005214CD" w:rsidRDefault="00B41951" w:rsidP="005214CD">
      <w:pPr>
        <w:tabs>
          <w:tab w:val="left" w:pos="4204"/>
        </w:tabs>
        <w:rPr>
          <w:rFonts w:ascii="Humnst777 BT" w:hAnsi="Humnst777 BT" w:cs="Arial"/>
          <w:sz w:val="22"/>
          <w:szCs w:val="22"/>
        </w:rPr>
      </w:pPr>
      <w:r w:rsidRPr="005214CD">
        <w:rPr>
          <w:rFonts w:ascii="Humnst777 BT" w:hAnsi="Humnst777 BT" w:cs="Arial"/>
          <w:b/>
          <w:sz w:val="22"/>
          <w:szCs w:val="22"/>
          <w:u w:val="single"/>
        </w:rPr>
        <w:t>IV 02 – Monitoring Assessor Performance – Observation</w:t>
      </w:r>
    </w:p>
    <w:p w:rsidR="00B41951" w:rsidRPr="005214CD" w:rsidRDefault="00B41951" w:rsidP="005214CD">
      <w:pPr>
        <w:tabs>
          <w:tab w:val="left" w:pos="4204"/>
        </w:tabs>
        <w:rPr>
          <w:rFonts w:ascii="Humnst777 BT" w:hAnsi="Humnst777 BT" w:cs="Arial"/>
          <w:sz w:val="22"/>
          <w:szCs w:val="22"/>
        </w:rPr>
      </w:pPr>
    </w:p>
    <w:p w:rsidR="00B41951" w:rsidRPr="005214CD" w:rsidRDefault="00B41951" w:rsidP="005214CD">
      <w:pPr>
        <w:tabs>
          <w:tab w:val="left" w:pos="4204"/>
        </w:tabs>
        <w:rPr>
          <w:rFonts w:ascii="Humnst777 BT" w:hAnsi="Humnst777 BT" w:cs="Arial"/>
          <w:sz w:val="22"/>
          <w:szCs w:val="22"/>
        </w:rPr>
      </w:pPr>
      <w:r w:rsidRPr="005214CD">
        <w:rPr>
          <w:rFonts w:ascii="Humnst777 BT" w:hAnsi="Humnst777 BT" w:cs="Arial"/>
          <w:sz w:val="22"/>
          <w:szCs w:val="22"/>
        </w:rPr>
        <w:t xml:space="preserve">To be used by the IV when observing the assessor either carrying out a desktop assessment or directly observing the assessor carrying out an observed assessment.  This document contains a checklist that must be completed by the internal verifier plus a Summary document that details their findings. </w:t>
      </w:r>
    </w:p>
    <w:p w:rsidR="00B41951" w:rsidRPr="005214CD" w:rsidRDefault="00B41951" w:rsidP="005214CD">
      <w:pPr>
        <w:tabs>
          <w:tab w:val="left" w:pos="4204"/>
        </w:tabs>
        <w:rPr>
          <w:rFonts w:ascii="Humnst777 BT" w:hAnsi="Humnst777 BT" w:cs="Arial"/>
          <w:b/>
          <w:sz w:val="22"/>
          <w:szCs w:val="22"/>
          <w:u w:val="single"/>
        </w:rPr>
      </w:pPr>
    </w:p>
    <w:p w:rsidR="00B41951" w:rsidRPr="005214CD" w:rsidRDefault="00B41951" w:rsidP="005214CD">
      <w:pPr>
        <w:tabs>
          <w:tab w:val="left" w:pos="4204"/>
        </w:tabs>
        <w:rPr>
          <w:rFonts w:ascii="Humnst777 BT" w:hAnsi="Humnst777 BT" w:cs="Arial"/>
          <w:b/>
          <w:sz w:val="22"/>
          <w:szCs w:val="22"/>
          <w:u w:val="single"/>
        </w:rPr>
      </w:pPr>
      <w:r w:rsidRPr="005214CD">
        <w:rPr>
          <w:rFonts w:ascii="Humnst777 BT" w:hAnsi="Humnst777 BT" w:cs="Arial"/>
          <w:b/>
          <w:sz w:val="22"/>
          <w:szCs w:val="22"/>
          <w:u w:val="single"/>
        </w:rPr>
        <w:t>IV 02a – Monitoring Assessor Performance – Candidate Interview</w:t>
      </w:r>
    </w:p>
    <w:p w:rsidR="00B41951" w:rsidRPr="005214CD" w:rsidRDefault="00B41951" w:rsidP="005214CD">
      <w:pPr>
        <w:tabs>
          <w:tab w:val="left" w:pos="4204"/>
        </w:tabs>
        <w:rPr>
          <w:rFonts w:ascii="Humnst777 BT" w:hAnsi="Humnst777 BT" w:cs="Arial"/>
          <w:sz w:val="22"/>
          <w:szCs w:val="22"/>
        </w:rPr>
      </w:pPr>
    </w:p>
    <w:p w:rsidR="00B41951" w:rsidRPr="005214CD" w:rsidRDefault="002107B5" w:rsidP="005214CD">
      <w:pPr>
        <w:tabs>
          <w:tab w:val="left" w:pos="4204"/>
        </w:tabs>
        <w:rPr>
          <w:rFonts w:ascii="Humnst777 BT" w:hAnsi="Humnst777 BT" w:cs="Arial"/>
          <w:sz w:val="22"/>
          <w:szCs w:val="22"/>
        </w:rPr>
      </w:pPr>
      <w:r w:rsidRPr="005214CD">
        <w:rPr>
          <w:rFonts w:ascii="Humnst777 BT" w:hAnsi="Humnst777 BT" w:cs="Arial"/>
          <w:sz w:val="22"/>
          <w:szCs w:val="22"/>
        </w:rPr>
        <w:t>Ideally, this method should be used after a formal assessment(s) have taken place as the questions span the whole assessment process.</w:t>
      </w:r>
    </w:p>
    <w:p w:rsidR="002107B5" w:rsidRPr="005214CD" w:rsidRDefault="002107B5" w:rsidP="005214CD">
      <w:pPr>
        <w:tabs>
          <w:tab w:val="left" w:pos="4204"/>
        </w:tabs>
        <w:rPr>
          <w:rFonts w:ascii="Humnst777 BT" w:hAnsi="Humnst777 BT" w:cs="Arial"/>
          <w:sz w:val="22"/>
          <w:szCs w:val="22"/>
        </w:rPr>
      </w:pPr>
    </w:p>
    <w:p w:rsidR="002107B5" w:rsidRPr="005214CD" w:rsidRDefault="002107B5" w:rsidP="005214CD">
      <w:pPr>
        <w:tabs>
          <w:tab w:val="left" w:pos="4204"/>
        </w:tabs>
        <w:rPr>
          <w:rFonts w:ascii="Humnst777 BT" w:hAnsi="Humnst777 BT" w:cs="Arial"/>
          <w:sz w:val="22"/>
          <w:szCs w:val="22"/>
        </w:rPr>
      </w:pPr>
      <w:r w:rsidRPr="005214CD">
        <w:rPr>
          <w:rFonts w:ascii="Humnst777 BT" w:hAnsi="Humnst777 BT" w:cs="Arial"/>
          <w:b/>
          <w:sz w:val="22"/>
          <w:szCs w:val="22"/>
          <w:u w:val="single"/>
        </w:rPr>
        <w:t>IV 02b – Monitoring Assessor Performance – Assessor Interview</w:t>
      </w:r>
    </w:p>
    <w:p w:rsidR="002107B5" w:rsidRPr="005214CD" w:rsidRDefault="002107B5" w:rsidP="005214CD">
      <w:pPr>
        <w:tabs>
          <w:tab w:val="left" w:pos="4204"/>
        </w:tabs>
        <w:rPr>
          <w:rFonts w:ascii="Humnst777 BT" w:hAnsi="Humnst777 BT" w:cs="Arial"/>
          <w:sz w:val="22"/>
          <w:szCs w:val="22"/>
        </w:rPr>
      </w:pPr>
    </w:p>
    <w:p w:rsidR="002107B5" w:rsidRPr="005214CD" w:rsidRDefault="002107B5" w:rsidP="005214CD">
      <w:pPr>
        <w:tabs>
          <w:tab w:val="left" w:pos="4204"/>
        </w:tabs>
        <w:rPr>
          <w:rFonts w:ascii="Humnst777 BT" w:hAnsi="Humnst777 BT" w:cs="Arial"/>
          <w:sz w:val="22"/>
          <w:szCs w:val="22"/>
        </w:rPr>
      </w:pPr>
      <w:r w:rsidRPr="005214CD">
        <w:rPr>
          <w:rFonts w:ascii="Humnst777 BT" w:hAnsi="Humnst777 BT" w:cs="Arial"/>
          <w:sz w:val="22"/>
          <w:szCs w:val="22"/>
        </w:rPr>
        <w:t>This can be used at any time during the verification process, as it confirms the assessor's understanding of the assessment process.</w:t>
      </w:r>
    </w:p>
    <w:p w:rsidR="002107B5" w:rsidRPr="005214CD" w:rsidRDefault="002107B5" w:rsidP="005214CD">
      <w:pPr>
        <w:tabs>
          <w:tab w:val="left" w:pos="4204"/>
        </w:tabs>
        <w:rPr>
          <w:rFonts w:ascii="Humnst777 BT" w:hAnsi="Humnst777 BT" w:cs="Arial"/>
          <w:sz w:val="22"/>
          <w:szCs w:val="22"/>
        </w:rPr>
      </w:pPr>
    </w:p>
    <w:p w:rsidR="002107B5" w:rsidRPr="005214CD" w:rsidRDefault="002107B5" w:rsidP="005214CD">
      <w:pPr>
        <w:tabs>
          <w:tab w:val="left" w:pos="4204"/>
        </w:tabs>
        <w:rPr>
          <w:rFonts w:ascii="Humnst777 BT" w:hAnsi="Humnst777 BT" w:cs="Arial"/>
          <w:sz w:val="22"/>
          <w:szCs w:val="22"/>
        </w:rPr>
      </w:pPr>
      <w:r w:rsidRPr="005214CD">
        <w:rPr>
          <w:rFonts w:ascii="Humnst777 BT" w:hAnsi="Humnst777 BT" w:cs="Arial"/>
          <w:b/>
          <w:sz w:val="22"/>
          <w:szCs w:val="22"/>
          <w:u w:val="single"/>
        </w:rPr>
        <w:t>IV 03 – Sampling Plan</w:t>
      </w:r>
    </w:p>
    <w:p w:rsidR="002107B5" w:rsidRPr="005214CD" w:rsidRDefault="002107B5" w:rsidP="005214CD">
      <w:pPr>
        <w:tabs>
          <w:tab w:val="left" w:pos="4204"/>
        </w:tabs>
        <w:rPr>
          <w:rFonts w:ascii="Humnst777 BT" w:hAnsi="Humnst777 BT" w:cs="Arial"/>
          <w:sz w:val="22"/>
          <w:szCs w:val="22"/>
        </w:rPr>
      </w:pPr>
    </w:p>
    <w:p w:rsidR="002107B5" w:rsidRPr="005214CD" w:rsidRDefault="00C307FC" w:rsidP="005214CD">
      <w:pPr>
        <w:tabs>
          <w:tab w:val="left" w:pos="4204"/>
        </w:tabs>
        <w:rPr>
          <w:rFonts w:ascii="Humnst777 BT" w:hAnsi="Humnst777 BT" w:cs="Arial"/>
          <w:sz w:val="22"/>
          <w:szCs w:val="22"/>
        </w:rPr>
      </w:pPr>
      <w:r w:rsidRPr="005214CD">
        <w:rPr>
          <w:rFonts w:ascii="Humnst777 BT" w:hAnsi="Humnst777 BT" w:cs="Arial"/>
          <w:sz w:val="22"/>
          <w:szCs w:val="22"/>
        </w:rPr>
        <w:t>This is used to show your External Verifiers how Internal Verifiers PLAN their sampling regime.  Remember to show your basic sampling as well as when you intend to carry out assessor observations, candidate interviews &amp; assessor interviews.</w:t>
      </w:r>
    </w:p>
    <w:p w:rsidR="00C307FC" w:rsidRPr="005214CD" w:rsidRDefault="00C307FC" w:rsidP="005214CD">
      <w:pPr>
        <w:tabs>
          <w:tab w:val="left" w:pos="4204"/>
        </w:tabs>
        <w:rPr>
          <w:rFonts w:ascii="Humnst777 BT" w:hAnsi="Humnst777 BT" w:cs="Arial"/>
          <w:sz w:val="22"/>
          <w:szCs w:val="22"/>
        </w:rPr>
      </w:pPr>
    </w:p>
    <w:sectPr w:rsidR="00C307FC" w:rsidRPr="005214CD" w:rsidSect="00834D77">
      <w:headerReference w:type="default" r:id="rId7"/>
      <w:pgSz w:w="11906" w:h="16838"/>
      <w:pgMar w:top="1276" w:right="1134" w:bottom="851"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A21" w:rsidRDefault="00437A21" w:rsidP="00D172B8">
      <w:r>
        <w:separator/>
      </w:r>
    </w:p>
  </w:endnote>
  <w:endnote w:type="continuationSeparator" w:id="0">
    <w:p w:rsidR="00437A21" w:rsidRDefault="00437A21" w:rsidP="00D172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A21" w:rsidRDefault="00437A21" w:rsidP="00D172B8">
      <w:r>
        <w:separator/>
      </w:r>
    </w:p>
  </w:footnote>
  <w:footnote w:type="continuationSeparator" w:id="0">
    <w:p w:rsidR="00437A21" w:rsidRDefault="00437A21" w:rsidP="00D17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2B8" w:rsidRPr="00D172B8" w:rsidRDefault="00D172B8" w:rsidP="00D172B8">
    <w:pPr>
      <w:pStyle w:val="Header"/>
      <w:jc w:val="right"/>
      <w:rPr>
        <w:rFonts w:ascii="Arial" w:hAnsi="Arial" w:cs="Arial"/>
        <w:b/>
        <w:sz w:val="22"/>
        <w:szCs w:val="22"/>
      </w:rPr>
    </w:pPr>
    <w:r w:rsidRPr="00D172B8">
      <w:rPr>
        <w:rFonts w:ascii="Arial" w:hAnsi="Arial" w:cs="Arial"/>
        <w:b/>
        <w:sz w:val="22"/>
        <w:szCs w:val="22"/>
      </w:rPr>
      <w:t>Version 3:  January 2011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D172B8"/>
    <w:rsid w:val="002107B5"/>
    <w:rsid w:val="003D3876"/>
    <w:rsid w:val="00437A21"/>
    <w:rsid w:val="005214CD"/>
    <w:rsid w:val="005D7743"/>
    <w:rsid w:val="00834D77"/>
    <w:rsid w:val="00941ED2"/>
    <w:rsid w:val="00A26136"/>
    <w:rsid w:val="00B41951"/>
    <w:rsid w:val="00C307FC"/>
    <w:rsid w:val="00C653CB"/>
    <w:rsid w:val="00CE7EB5"/>
    <w:rsid w:val="00D172B8"/>
    <w:rsid w:val="00E178F3"/>
    <w:rsid w:val="00F015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2B8"/>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172B8"/>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72B8"/>
    <w:rPr>
      <w:rFonts w:ascii="Times New Roman" w:eastAsia="Times New Roman" w:hAnsi="Times New Roman" w:cs="Times New Roman"/>
      <w:b/>
      <w:bCs/>
      <w:sz w:val="24"/>
      <w:szCs w:val="24"/>
      <w:u w:val="single"/>
    </w:rPr>
  </w:style>
  <w:style w:type="paragraph" w:styleId="Header">
    <w:name w:val="header"/>
    <w:basedOn w:val="Normal"/>
    <w:link w:val="HeaderChar"/>
    <w:uiPriority w:val="99"/>
    <w:semiHidden/>
    <w:unhideWhenUsed/>
    <w:rsid w:val="00D172B8"/>
    <w:pPr>
      <w:tabs>
        <w:tab w:val="center" w:pos="4513"/>
        <w:tab w:val="right" w:pos="9026"/>
      </w:tabs>
    </w:pPr>
  </w:style>
  <w:style w:type="character" w:customStyle="1" w:styleId="HeaderChar">
    <w:name w:val="Header Char"/>
    <w:basedOn w:val="DefaultParagraphFont"/>
    <w:link w:val="Header"/>
    <w:uiPriority w:val="99"/>
    <w:semiHidden/>
    <w:rsid w:val="00D172B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172B8"/>
    <w:pPr>
      <w:tabs>
        <w:tab w:val="center" w:pos="4513"/>
        <w:tab w:val="right" w:pos="9026"/>
      </w:tabs>
    </w:pPr>
  </w:style>
  <w:style w:type="character" w:customStyle="1" w:styleId="FooterChar">
    <w:name w:val="Footer Char"/>
    <w:basedOn w:val="DefaultParagraphFont"/>
    <w:link w:val="Footer"/>
    <w:uiPriority w:val="99"/>
    <w:semiHidden/>
    <w:rsid w:val="00D172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verification documents guidance notes</dc:title>
  <dc:subject>Internal verification documents guidance notes</dc:subject>
  <dc:creator>The Trading Standards Institute</dc:creator>
  <cp:keywords>Internal verification documents, IV,  guidance notes</cp:keywords>
  <cp:lastModifiedBy>Administrator</cp:lastModifiedBy>
  <cp:revision>2</cp:revision>
  <cp:lastPrinted>2011-01-10T11:29:00Z</cp:lastPrinted>
  <dcterms:created xsi:type="dcterms:W3CDTF">2016-10-13T16:15:00Z</dcterms:created>
  <dcterms:modified xsi:type="dcterms:W3CDTF">2016-10-13T16:15:00Z</dcterms:modified>
</cp:coreProperties>
</file>